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288" w:after="144"/>
        <w:jc w:val="center"/>
        <w:rPr>
          <w:b/>
          <w:b/>
        </w:rPr>
      </w:pPr>
      <w:r>
        <w:rPr>
          <w:b/>
        </w:rPr>
        <w:t>PROGRAM WYCHOWAWCZO-PROFILAKTYCZNY</w:t>
      </w:r>
    </w:p>
    <w:p>
      <w:pPr>
        <w:pStyle w:val="Normal"/>
        <w:spacing w:before="288" w:after="144"/>
        <w:jc w:val="center"/>
        <w:rPr/>
      </w:pPr>
      <w:r>
        <w:rPr>
          <w:b/>
        </w:rPr>
        <w:t xml:space="preserve">ZESPOŁU SZKÓŁ  NR 33 DLA DZIECI I MŁODZIEŻY  PRZEWLEKLE CHOREJ </w:t>
        <w:br/>
        <w:t>W BYDGOSZCZY</w:t>
      </w:r>
    </w:p>
    <w:p>
      <w:pPr>
        <w:pStyle w:val="Normal"/>
        <w:spacing w:before="288" w:after="144"/>
        <w:jc w:val="center"/>
        <w:rPr>
          <w:b/>
          <w:b/>
        </w:rPr>
      </w:pPr>
      <w:r>
        <w:rPr>
          <w:b/>
        </w:rPr>
        <w:t>Rok szkolny 2026/2027</w:t>
      </w:r>
    </w:p>
    <w:p>
      <w:pPr>
        <w:pStyle w:val="Tretekstu"/>
        <w:spacing w:before="288" w:after="144"/>
        <w:rPr/>
      </w:pPr>
      <w:r>
        <w:rPr>
          <w:b/>
        </w:rPr>
        <w:br/>
        <w:t>I. WSTĘP I PODSTAWA PRAWNA</w:t>
      </w:r>
    </w:p>
    <w:p>
      <w:pPr>
        <w:pStyle w:val="Tretekstu"/>
        <w:spacing w:before="144" w:after="192"/>
        <w:ind w:firstLine="709"/>
        <w:jc w:val="both"/>
        <w:rPr/>
      </w:pPr>
      <w:r>
        <w:rPr/>
        <w:t xml:space="preserve">Program Wychowawczo-Profilaktyczny Zespołu Szkół nr 33 Specjalnych dla Dzieci </w:t>
        <w:br/>
        <w:t xml:space="preserve">i Młodzieży Przewlekle Chorej na rok szkolny 2026/2027 stanowi spójny system działań </w:t>
        <w:br/>
        <w:t>o charakterze wychowawczym oraz profilaktycznym, dostosowany do unikalnych potrzeb uczniów-pacjentów hospitalizowanych na oddziałach szpitalnych. Dokument określa cele, zadania oraz wskaźniki efektywności działań nakierowanych na wspieranie dobrostanu psychofizycznego uczniów, redukcję stresu izolacji szpitalnej oraz zapobieganie zachowaniom ryzykownym.</w:t>
      </w:r>
    </w:p>
    <w:p>
      <w:pPr>
        <w:pStyle w:val="Tretekstu"/>
        <w:spacing w:before="288" w:after="144"/>
        <w:rPr>
          <w:b/>
          <w:b/>
        </w:rPr>
      </w:pPr>
      <w:r>
        <w:rPr>
          <w:b/>
        </w:rPr>
        <w:t>1. Podstawa prawna</w:t>
      </w:r>
    </w:p>
    <w:p>
      <w:pPr>
        <w:pStyle w:val="Tretekstu"/>
        <w:spacing w:before="144" w:after="192"/>
        <w:rPr/>
      </w:pPr>
      <w:r>
        <w:rPr/>
        <w:t>Program opracowano z uwzględnieniem obowiązujących przepisów prawa, w szczególności:</w:t>
      </w:r>
    </w:p>
    <w:p>
      <w:pPr>
        <w:pStyle w:val="Tretekstu"/>
        <w:numPr>
          <w:ilvl w:val="0"/>
          <w:numId w:val="2"/>
        </w:numPr>
        <w:spacing w:before="144" w:after="192"/>
        <w:jc w:val="both"/>
        <w:rPr>
          <w:rStyle w:val="Strong"/>
          <w:b w:val="false"/>
          <w:b w:val="false"/>
          <w:bCs w:val="false"/>
        </w:rPr>
      </w:pPr>
      <w:r>
        <w:rPr>
          <w:rStyle w:val="Strong"/>
          <w:b w:val="false"/>
        </w:rPr>
        <w:t>Ustawa z dnia 14 grudnia 2016 r. – Prawo oświatowe (t.j. Dz.U. z 2026 r. poz. 820, z późn. zm.), w szczególności art. 1, art. 26, art. 27, art. 84 ust. 4 oraz art. 128.</w:t>
      </w:r>
    </w:p>
    <w:p>
      <w:pPr>
        <w:pStyle w:val="Tretekstu"/>
        <w:numPr>
          <w:ilvl w:val="0"/>
          <w:numId w:val="2"/>
        </w:numPr>
        <w:spacing w:before="144" w:after="192"/>
        <w:jc w:val="both"/>
        <w:rPr>
          <w:rStyle w:val="Strong"/>
          <w:b w:val="false"/>
          <w:b w:val="false"/>
          <w:bCs w:val="false"/>
        </w:rPr>
      </w:pPr>
      <w:r>
        <w:rPr>
          <w:rStyle w:val="Strong"/>
          <w:b w:val="false"/>
        </w:rPr>
        <w:t>Ustawa z dnia 3 lipca 2026 r. o zmianie ustawy – Prawo oświatowe (Dz.U. z 2026 r. poz. 1036) – w zakresie zmian obowiązujących od roku szkolnego 2026/2027.</w:t>
      </w:r>
    </w:p>
    <w:p>
      <w:pPr>
        <w:pStyle w:val="Tretekstu"/>
        <w:numPr>
          <w:ilvl w:val="0"/>
          <w:numId w:val="2"/>
        </w:numPr>
        <w:spacing w:before="144" w:after="192"/>
        <w:jc w:val="both"/>
        <w:rPr>
          <w:rStyle w:val="Strong"/>
          <w:b w:val="false"/>
          <w:b w:val="false"/>
          <w:bCs w:val="false"/>
        </w:rPr>
      </w:pPr>
      <w:r>
        <w:rPr>
          <w:rStyle w:val="Strong"/>
          <w:b w:val="false"/>
        </w:rPr>
        <w:t xml:space="preserve">Rozporządzenie Ministra Edukacji Narodowej z dnia 18 sierpnia 2015 r. w sprawie zakresu </w:t>
        <w:br/>
        <w:t>i form prowadzenia w szkołach i placówkach systemu oświaty działalności wychowawczej, edukacyjnej, informacyjnej i profilaktycznej w celu przeciwdziałania narkomanii (t.j. Dz.U. z 2020 r. poz. 1449).</w:t>
      </w:r>
    </w:p>
    <w:p>
      <w:pPr>
        <w:pStyle w:val="Tretekstu"/>
        <w:numPr>
          <w:ilvl w:val="0"/>
          <w:numId w:val="2"/>
        </w:numPr>
        <w:spacing w:before="144" w:after="192"/>
        <w:jc w:val="both"/>
        <w:rPr/>
      </w:pPr>
      <w:r>
        <w:rPr/>
        <w:t>Rozporządzenie Ministra Edukacji Narodowej z dnia 9 sierpnia 2017 r. w sprawie zasad organizacji i udzielania pomocy psychologiczno-pedagogicznej w publicznych przedszkolach, szkołach i placówkach (t.j. Dz.U. z 2023 r. poz. 1798).</w:t>
      </w:r>
    </w:p>
    <w:p>
      <w:pPr>
        <w:pStyle w:val="Tretekstu"/>
        <w:numPr>
          <w:ilvl w:val="0"/>
          <w:numId w:val="2"/>
        </w:numPr>
        <w:spacing w:before="144" w:after="192"/>
        <w:jc w:val="both"/>
        <w:rPr/>
      </w:pPr>
      <w:r>
        <w:rPr/>
        <w:t>Rozporządzenie Ministra Edukacji z dnia 23 stycznia 2025 r. w sprawie organizacji kształcenia oraz warunków i form realizowania specjalnych działań opiekuńczo-wychowawczych w przedszkolach i szkołach specjalnych oraz w oddziałach specjalnych, zorganizowanych w podmiotach leczniczych i jednostkach pomocy społecznej (Dz.U. z 2025 r. poz. 115), zmienione rozporządzeniem Ministra Edukacji z dnia 12 czerwca 2026 r. (Dz.U. z 2026 r. poz. 770).</w:t>
      </w:r>
    </w:p>
    <w:p>
      <w:pPr>
        <w:pStyle w:val="Tretekstu"/>
        <w:numPr>
          <w:ilvl w:val="0"/>
          <w:numId w:val="2"/>
        </w:numPr>
        <w:spacing w:before="144" w:after="192"/>
        <w:jc w:val="both"/>
        <w:rPr/>
      </w:pPr>
      <w:r>
        <w:rPr/>
        <w:t>Rozporządzenie Ministra Edukacji z dnia 11 marca 2026 r. w sprawie podstawy programowej wychowania przedszkolnego oraz podstawy programowej kształcenia ogólnego dla szkoły podstawowej, w tym dla uczniów z niepełnosprawnością intelektualną w stopniu umiarkowanym lub znacznym (Dz.U. z 2026 r. poz. 378), z późn. zm.</w:t>
      </w:r>
    </w:p>
    <w:p>
      <w:pPr>
        <w:pStyle w:val="Tretekstu"/>
        <w:numPr>
          <w:ilvl w:val="0"/>
          <w:numId w:val="2"/>
        </w:numPr>
        <w:spacing w:before="144" w:after="192"/>
        <w:jc w:val="both"/>
        <w:rPr/>
      </w:pPr>
      <w:r>
        <w:rPr/>
        <w:t>Rozporządzenie Ministra Edukacji Narodowej z dnia 30 stycznia 2018 r. w sprawie podstawy programowej kształcenia ogólnego dla liceum ogólnokształcącego, technikum oraz branżowej szkoły II stopnia (Dz.U. z 2018 r. poz. 467, z późn. zm.), z uwzględnieniem zmian wprowadzonych rozporządzeniem Ministra Edukacji z dnia 8 lipca 2026 r. (Dz.U. z 2026 r. poz. 947).</w:t>
      </w:r>
    </w:p>
    <w:p>
      <w:pPr>
        <w:pStyle w:val="Tretekstu"/>
        <w:numPr>
          <w:ilvl w:val="0"/>
          <w:numId w:val="2"/>
        </w:numPr>
        <w:spacing w:before="144" w:after="192"/>
        <w:jc w:val="both"/>
        <w:rPr/>
      </w:pPr>
      <w:r>
        <w:rPr/>
        <w:t>Przepisy dotyczące ochrony małoletnich przed krzywdzeniem, w tym standardów ochrony małoletnich, stosowane w zakresie właściwym dla działalności szkoły.</w:t>
      </w:r>
    </w:p>
    <w:p>
      <w:pPr>
        <w:pStyle w:val="Tretekstu"/>
        <w:spacing w:before="0" w:after="0"/>
        <w:ind w:left="283" w:hanging="0"/>
        <w:jc w:val="both"/>
        <w:rPr>
          <w:rStyle w:val="Strong"/>
        </w:rPr>
      </w:pPr>
      <w:r>
        <w:rPr>
          <w:rStyle w:val="Strong"/>
        </w:rPr>
        <w:t>Dokumenty i uwarunkowania uwzględnione przy opracowaniu programu:</w:t>
      </w:r>
    </w:p>
    <w:p>
      <w:pPr>
        <w:pStyle w:val="Tretekstu"/>
        <w:numPr>
          <w:ilvl w:val="0"/>
          <w:numId w:val="3"/>
        </w:numPr>
        <w:spacing w:before="0" w:after="0"/>
        <w:jc w:val="both"/>
        <w:rPr/>
      </w:pPr>
      <w:r>
        <w:rPr/>
        <w:t>Podstawowe kierunki realizacji polityki oświatowej państwa na rok szkolny 2026/2027.</w:t>
      </w:r>
    </w:p>
    <w:p>
      <w:pPr>
        <w:pStyle w:val="Tretekstu"/>
        <w:numPr>
          <w:ilvl w:val="0"/>
          <w:numId w:val="3"/>
        </w:numPr>
        <w:spacing w:before="0" w:after="0"/>
        <w:jc w:val="both"/>
        <w:rPr/>
      </w:pPr>
      <w:r>
        <w:rPr/>
        <w:t>Statuty szkół wchodzących w skład Zespołu Szkół nr 33 w Bydgoszczy.</w:t>
      </w:r>
    </w:p>
    <w:p>
      <w:pPr>
        <w:pStyle w:val="Tretekstu"/>
        <w:numPr>
          <w:ilvl w:val="0"/>
          <w:numId w:val="3"/>
        </w:numPr>
        <w:spacing w:before="0" w:after="0"/>
        <w:jc w:val="both"/>
        <w:rPr/>
      </w:pPr>
      <w:r>
        <w:rPr>
          <w:iCs/>
        </w:rPr>
        <w:t>Wyniki diagnozy potrzeb rozwojowych uczniów, czynników chroniących i czynników ryzyka oraz wyniki ewaluacji działań wychowawczo-profilaktycznych za rok szkolny 2025/2026.</w:t>
      </w:r>
    </w:p>
    <w:p>
      <w:pPr>
        <w:pStyle w:val="Tretekstu"/>
        <w:spacing w:before="288" w:after="144"/>
        <w:jc w:val="both"/>
        <w:rPr>
          <w:b/>
          <w:b/>
        </w:rPr>
      </w:pPr>
      <w:r>
        <w:rPr>
          <w:b/>
        </w:rPr>
        <w:t>2. Procedura tworzenia i zatwierdzania dokumentu</w:t>
      </w:r>
    </w:p>
    <w:p>
      <w:pPr>
        <w:pStyle w:val="Tretekstu"/>
        <w:spacing w:before="144" w:after="192"/>
        <w:ind w:firstLine="709"/>
        <w:jc w:val="both"/>
        <w:rPr/>
      </w:pPr>
      <w:r>
        <w:rPr/>
        <w:t>Program powstał jako bezpośrednia odpowiedź na wyniki ewaluacji i diagnozy potrzeb, przeprowadzonej w Zespole Szkół nr 33</w:t>
      </w:r>
      <w:bookmarkStart w:id="0" w:name="_GoBack"/>
      <w:bookmarkEnd w:id="0"/>
      <w:r>
        <w:rPr/>
        <w:t xml:space="preserve"> pod koniec roku szkolnego 2025/2026 (analiza arkuszy 40 nauczycieli oraz ankiet od 93 uczniów i 34 pedagogów).</w:t>
      </w:r>
    </w:p>
    <w:p>
      <w:pPr>
        <w:pStyle w:val="Tretekstu"/>
        <w:spacing w:before="144" w:after="192"/>
        <w:ind w:firstLine="709"/>
        <w:jc w:val="both"/>
        <w:rPr/>
      </w:pPr>
      <w:r>
        <w:rPr/>
        <w:t>Z uwagi na specyfikę organizacji szkoły szpitalnej oraz fakt, że w Zespole nie tworzy się rady rodziców, Program uchwala Rada Pedagogiczna zgodnie z art. 84 ust. 4 ustawy – Prawo oświatowe. Program został przygotowany przez Zespół ds. Wychowania i Profilaktyki na podstawie corocznej diagnozy potrzeb rozwojowych uczniów, czynników chroniących i czynników ryzyka oraz wniosków z ewaluacji działań z roku szkolnego 2025/2026.</w:t>
      </w:r>
    </w:p>
    <w:p>
      <w:pPr>
        <w:pStyle w:val="Tretekstu"/>
        <w:spacing w:before="144" w:after="192"/>
        <w:rPr/>
      </w:pPr>
      <w:r>
        <w:rPr/>
      </w:r>
    </w:p>
    <w:p>
      <w:pPr>
        <w:pStyle w:val="Normal"/>
        <w:rPr/>
      </w:pPr>
      <w:r>
        <w:rPr/>
        <w:t>3. Cel główny i cele szczegółowe programu</w:t>
      </w:r>
    </w:p>
    <w:p>
      <w:pPr>
        <w:pStyle w:val="Normal"/>
        <w:rPr/>
      </w:pPr>
      <w:r>
        <w:rPr/>
      </w:r>
    </w:p>
    <w:p>
      <w:pPr>
        <w:pStyle w:val="Normal"/>
        <w:ind w:firstLine="709"/>
        <w:jc w:val="both"/>
        <w:rPr>
          <w:rFonts w:cs="Times New Roman"/>
        </w:rPr>
      </w:pPr>
      <w:r>
        <w:rPr/>
        <w:t xml:space="preserve">Celem głównym Programu jest wspieranie wszechstronnego rozwoju ucznia-pacjenta, wzmacnianie jego dobrostanu psychicznego, fizycznego i społecznego oraz tworzenie bezpiecznego i wspierającego środowiska wychowawczego, z uwzględnieniem szczególnych potrzeb wynikających z hospitalizacji, stanu zdrowia i </w:t>
      </w:r>
      <w:r>
        <w:rPr>
          <w:rFonts w:cs="Times New Roman"/>
        </w:rPr>
        <w:t>sytuacji kryzysowej.</w:t>
      </w:r>
    </w:p>
    <w:p>
      <w:pPr>
        <w:pStyle w:val="Normal"/>
        <w:ind w:firstLine="709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rPr>
          <w:rFonts w:cs="Times New Roman"/>
        </w:rPr>
      </w:pPr>
      <w:r>
        <w:rPr>
          <w:rFonts w:cs="Times New Roman"/>
        </w:rPr>
        <w:t xml:space="preserve">Cele szczegółowe: </w:t>
      </w:r>
    </w:p>
    <w:p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wzmacnianie odporności psychicznej i poczucia sprawczości; </w:t>
      </w:r>
    </w:p>
    <w:p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rozwijanie kompetencji społecznych i kultury komunikacji; </w:t>
      </w:r>
    </w:p>
    <w:p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promowanie zdrowego stylu życia; </w:t>
      </w:r>
    </w:p>
    <w:p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ograniczanie zachowań ryzykownych i uzależnień, w tym behawioralnych;</w:t>
      </w:r>
    </w:p>
    <w:p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kształtowanie higieny cyfrowej i bezpieczeństwa w sieci; </w:t>
      </w:r>
    </w:p>
    <w:p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wzmacnianie postaw prospołecznych, obywatelskich i szacunku dla drugiego człowieka;</w:t>
      </w:r>
    </w:p>
    <w:p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wspieranie rodziców i nauczycieli w działaniach profilaktycznych.</w:t>
      </w:r>
    </w:p>
    <w:p>
      <w:pPr>
        <w:pStyle w:val="Normal"/>
        <w:spacing w:before="144" w:after="192"/>
        <w:rPr>
          <w:b/>
          <w:b/>
        </w:rPr>
      </w:pPr>
      <w:r>
        <w:rPr>
          <w:b/>
        </w:rPr>
        <w:t>II. SPECYFIKA WYCHOWAWCZO-PROFILAKTYCZNA SZKOŁY SZPITALNEJ</w:t>
      </w:r>
    </w:p>
    <w:p>
      <w:pPr>
        <w:pStyle w:val="Normal"/>
        <w:spacing w:before="144" w:after="192"/>
        <w:ind w:firstLine="709"/>
        <w:jc w:val="both"/>
        <w:rPr>
          <w:rFonts w:cs="Times New Roman"/>
        </w:rPr>
      </w:pPr>
      <w:r>
        <w:rPr/>
        <w:t xml:space="preserve">Działalność wychowawcza i profilaktyczna w Zespole Szkół nr 33 realizowana jest </w:t>
        <w:br/>
        <w:t xml:space="preserve">w warunkach szczególnych, determinowanych przez proces leczenia i hospitalizacji uczniów-pacjentów. Specyfika ta diametralnie różni się od realiów szkoły masowej i opiera się </w:t>
        <w:br/>
        <w:t xml:space="preserve">na </w:t>
      </w:r>
      <w:r>
        <w:rPr>
          <w:rFonts w:cs="Times New Roman"/>
        </w:rPr>
        <w:t>następujących uwarunkowaniach:</w:t>
      </w:r>
    </w:p>
    <w:p>
      <w:pPr>
        <w:pStyle w:val="ListParagraph"/>
        <w:numPr>
          <w:ilvl w:val="0"/>
          <w:numId w:val="5"/>
        </w:numPr>
        <w:spacing w:before="144" w:after="192"/>
        <w:jc w:val="both"/>
        <w:rPr>
          <w:rFonts w:ascii="Times New Roman" w:hAnsi="Times New Roman"/>
          <w:sz w:val="24"/>
          <w:szCs w:val="24"/>
        </w:rPr>
      </w:pPr>
      <w:r>
        <w:rPr>
          <w:rStyle w:val="Strong"/>
          <w:rFonts w:ascii="Times New Roman" w:hAnsi="Times New Roman"/>
          <w:sz w:val="24"/>
          <w:szCs w:val="24"/>
        </w:rPr>
        <w:t>Podmiotowość ucznia-pacjenta w kryzysie:</w:t>
      </w:r>
      <w:r>
        <w:rPr>
          <w:rFonts w:ascii="Times New Roman" w:hAnsi="Times New Roman"/>
          <w:sz w:val="24"/>
          <w:szCs w:val="24"/>
        </w:rPr>
        <w:t xml:space="preserve"> Działania edukacyjne i wychowawcze są podporządkowane stanowi zdrowia, samopoczuciu oraz zaleceniom personelu medycznego. Diagnoza pedagogiczna skupia się na bieżących potrzebach psychofizycznych dziecka </w:t>
        <w:br/>
        <w:t>w sytuacji kryzysu chorobowego i izolacji.</w:t>
      </w:r>
    </w:p>
    <w:p>
      <w:pPr>
        <w:pStyle w:val="ListParagraph"/>
        <w:numPr>
          <w:ilvl w:val="0"/>
          <w:numId w:val="5"/>
        </w:numPr>
        <w:spacing w:before="144" w:after="192"/>
        <w:jc w:val="both"/>
        <w:rPr>
          <w:rFonts w:ascii="Times New Roman" w:hAnsi="Times New Roman"/>
          <w:sz w:val="24"/>
          <w:szCs w:val="24"/>
        </w:rPr>
      </w:pPr>
      <w:r>
        <w:rPr>
          <w:rStyle w:val="Strong"/>
          <w:rFonts w:ascii="Times New Roman" w:hAnsi="Times New Roman"/>
          <w:sz w:val="24"/>
          <w:szCs w:val="24"/>
        </w:rPr>
        <w:t>Skrajna dynamika i rotacja zespołów:</w:t>
      </w:r>
      <w:r>
        <w:rPr>
          <w:rFonts w:ascii="Times New Roman" w:hAnsi="Times New Roman"/>
          <w:sz w:val="24"/>
          <w:szCs w:val="24"/>
        </w:rPr>
        <w:t xml:space="preserve"> Grupy klasowe i oddziałowe mają charakter </w:t>
        <w:br/>
        <w:t>otwarty i wysoce zmienny. Czas pobytu uczniów wynosi od kilku dni (pacjenci krótkoterminowi) do wielu miesięcy (pacjenci długoterminowi). Wymaga to od nauczycieli natychmiastowej adaptacji metod wychowawczych oraz indywidualizacji podejścia.</w:t>
      </w:r>
    </w:p>
    <w:p>
      <w:pPr>
        <w:pStyle w:val="ListParagraph"/>
        <w:numPr>
          <w:ilvl w:val="0"/>
          <w:numId w:val="5"/>
        </w:numPr>
        <w:spacing w:before="144" w:after="192"/>
        <w:jc w:val="both"/>
        <w:rPr>
          <w:rFonts w:ascii="Times New Roman" w:hAnsi="Times New Roman"/>
          <w:sz w:val="24"/>
          <w:szCs w:val="24"/>
        </w:rPr>
      </w:pPr>
      <w:r>
        <w:rPr>
          <w:rStyle w:val="Strong"/>
          <w:rFonts w:ascii="Times New Roman" w:hAnsi="Times New Roman"/>
          <w:sz w:val="24"/>
          <w:szCs w:val="24"/>
        </w:rPr>
        <w:t>Wieloprofilowość oddziałów:</w:t>
      </w:r>
      <w:r>
        <w:rPr>
          <w:rFonts w:ascii="Times New Roman" w:hAnsi="Times New Roman"/>
          <w:sz w:val="24"/>
          <w:szCs w:val="24"/>
        </w:rPr>
        <w:t xml:space="preserve"> Szkoła realizuje program w zróżnicowanych środowiskach terapeutycznych – od oddziałów somatycznych po Klinikę Psychiatrii Dzieci i Młodzieży. Na oddziałach psychiatrycznych regulaminy i normy zachowania stanowią integralny </w:t>
        <w:br/>
        <w:t xml:space="preserve">element procesu terapeutycznego ( są opracowywane i wdrażane w ścisłej współpracy </w:t>
        <w:br/>
        <w:t xml:space="preserve">z personelem oddziału), a działania profilaktyczne kładą szczególny nacisk </w:t>
        <w:br/>
        <w:t>na przeciwdziałanie agresji słownej i obniżonemu nastrojowi.</w:t>
      </w:r>
    </w:p>
    <w:p>
      <w:pPr>
        <w:pStyle w:val="ListParagraph"/>
        <w:numPr>
          <w:ilvl w:val="0"/>
          <w:numId w:val="5"/>
        </w:numPr>
        <w:spacing w:before="144" w:after="192"/>
        <w:jc w:val="both"/>
        <w:rPr>
          <w:rFonts w:ascii="Times New Roman" w:hAnsi="Times New Roman"/>
          <w:sz w:val="24"/>
          <w:szCs w:val="24"/>
        </w:rPr>
      </w:pPr>
      <w:r>
        <w:rPr>
          <w:rStyle w:val="Strong"/>
          <w:rFonts w:ascii="Times New Roman" w:hAnsi="Times New Roman"/>
          <w:sz w:val="24"/>
          <w:szCs w:val="24"/>
        </w:rPr>
        <w:t>Wielospecjalistyczny model współpracy:</w:t>
      </w:r>
      <w:r>
        <w:rPr>
          <w:rFonts w:ascii="Times New Roman" w:hAnsi="Times New Roman"/>
          <w:sz w:val="24"/>
          <w:szCs w:val="24"/>
        </w:rPr>
        <w:t xml:space="preserve"> Proces wychowawczy opiera się na unikalnym, interdyscyplinarnym partnerstwie: </w:t>
      </w:r>
      <w:r>
        <w:rPr>
          <w:rStyle w:val="Wyrnienie"/>
          <w:rFonts w:ascii="Times New Roman" w:hAnsi="Times New Roman"/>
          <w:sz w:val="24"/>
          <w:szCs w:val="24"/>
        </w:rPr>
        <w:t>Nauczyciel – Uczeń – Rodzic – Lekarz – Pielęgniarka – Psycholog kliniczny</w:t>
      </w:r>
      <w:r>
        <w:rPr>
          <w:rFonts w:ascii="Times New Roman" w:hAnsi="Times New Roman"/>
          <w:sz w:val="24"/>
          <w:szCs w:val="24"/>
        </w:rPr>
        <w:t xml:space="preserve">. Problemy wychowawcze korygowane są natychmiastowo, bezpośrednio na oddziałach, z zachowaniem pełnej autonomii oddziałowych zespołów </w:t>
        <w:br/>
        <w:t>wychowawczych.</w:t>
      </w:r>
    </w:p>
    <w:p>
      <w:pPr>
        <w:pStyle w:val="ListParagraph"/>
        <w:numPr>
          <w:ilvl w:val="0"/>
          <w:numId w:val="5"/>
        </w:numPr>
        <w:spacing w:before="144" w:after="192"/>
        <w:jc w:val="both"/>
        <w:rPr>
          <w:rFonts w:ascii="Times New Roman" w:hAnsi="Times New Roman"/>
          <w:sz w:val="24"/>
          <w:szCs w:val="24"/>
        </w:rPr>
      </w:pPr>
      <w:r>
        <w:rPr>
          <w:rStyle w:val="Strong"/>
          <w:rFonts w:ascii="Times New Roman" w:hAnsi="Times New Roman"/>
          <w:sz w:val="24"/>
          <w:szCs w:val="24"/>
        </w:rPr>
        <w:t>Funkcja terapeutyczno-wspierająca:</w:t>
      </w:r>
      <w:r>
        <w:rPr>
          <w:rFonts w:ascii="Times New Roman" w:hAnsi="Times New Roman"/>
          <w:sz w:val="24"/>
          <w:szCs w:val="24"/>
        </w:rPr>
        <w:t xml:space="preserve"> Szkoła w szpitalu nie tylko realizuje podstawę </w:t>
        <w:br/>
        <w:t>programową, ale przede wszystkim redukuje stres hospitalizacyjny, przeciwdziała bierności, buduje poczucie normalności i sprawczości oraz wzmacnia wiarę ucznia we własne możliwości mimo ograniczeń zdrowotnych.</w:t>
      </w:r>
    </w:p>
    <w:p>
      <w:pPr>
        <w:pStyle w:val="ListParagraph"/>
        <w:numPr>
          <w:ilvl w:val="0"/>
          <w:numId w:val="5"/>
        </w:numPr>
        <w:spacing w:before="144" w:after="19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Współpraca z rodzicami/opiekunami:</w:t>
      </w:r>
      <w:r>
        <w:rPr>
          <w:rFonts w:ascii="Times New Roman" w:hAnsi="Times New Roman"/>
          <w:sz w:val="24"/>
          <w:szCs w:val="24"/>
        </w:rPr>
        <w:t xml:space="preserve"> Współpraca z rodzicami i opiekunami jest </w:t>
        <w:br/>
        <w:t xml:space="preserve">prowadzona w takim zakresie, w jakim umożliwia to charakter hospitalizacji, czas pobytu ucznia oraz organizacja oddziału. Obejmuje w szczególności przekazywanie informacji </w:t>
        <w:br/>
        <w:t>o działaniach szkoły, edukację dotyczącą higieny cyfrowej i zachowań prozdrowotnych, wzmacnianie spójnych oddziaływań wychowawczych oraz – w razie potrzeby – kierowanie do właściwych form wsparcia.</w:t>
      </w:r>
    </w:p>
    <w:p>
      <w:pPr>
        <w:pStyle w:val="Normal"/>
        <w:spacing w:before="144" w:after="192"/>
        <w:rPr/>
      </w:pPr>
      <w:r>
        <w:rPr>
          <w:b/>
        </w:rPr>
        <w:br/>
        <w:t>III. ETOS PATRONA SZKOŁY W REFORMOWANYM PROCESIE WYCHOWAWCZYM</w:t>
      </w:r>
    </w:p>
    <w:p>
      <w:pPr>
        <w:pStyle w:val="Normal"/>
        <w:ind w:firstLine="709"/>
        <w:jc w:val="both"/>
        <w:rPr/>
      </w:pPr>
      <w:r>
        <w:rPr/>
        <w:t xml:space="preserve">Działania wychowawczo-profilaktyczne Zespołu Szkół nr 33 są trwale zakorzenione </w:t>
        <w:br/>
        <w:t xml:space="preserve">w wartościach reprezentowanych przez Patronkę Szkoły – Irenę Sendlerową. Jej biografia oraz niezłomna postawa życiowa stanowią fundament etyczny szkoły, wyznaczając kierunki pracy </w:t>
        <w:br/>
        <w:t>z uczniem-pacjentem, szczególnie w kontekście wdrażanych od września 2026 r. aktualnych założeń podstawy programowej w obszarze edukacji filozoficzno-kulturowej.</w:t>
      </w:r>
    </w:p>
    <w:p>
      <w:pPr>
        <w:pStyle w:val="Normal"/>
        <w:spacing w:before="144" w:after="192"/>
        <w:ind w:firstLine="709"/>
        <w:jc w:val="both"/>
        <w:rPr/>
      </w:pPr>
      <w:r>
        <w:rPr/>
        <w:t>Postać Ireny Sendlerowej w warunkach szkoły szpitalnej nie jest jedynie symbolem historycznym, lecz żywym drogowskazem w codziennej pracy na oddziałach:</w:t>
      </w:r>
    </w:p>
    <w:p>
      <w:pPr>
        <w:pStyle w:val="ListParagraph"/>
        <w:numPr>
          <w:ilvl w:val="0"/>
          <w:numId w:val="6"/>
        </w:numPr>
        <w:spacing w:before="144" w:after="192"/>
        <w:jc w:val="both"/>
        <w:rPr>
          <w:rStyle w:val="Strong"/>
          <w:rFonts w:ascii="Times New Roman" w:hAnsi="Times New Roman"/>
          <w:bCs w:val="false"/>
          <w:sz w:val="24"/>
          <w:szCs w:val="24"/>
        </w:rPr>
      </w:pPr>
      <w:r>
        <w:rPr>
          <w:rStyle w:val="Strong"/>
          <w:rFonts w:ascii="Times New Roman" w:hAnsi="Times New Roman"/>
          <w:sz w:val="24"/>
          <w:szCs w:val="24"/>
        </w:rPr>
        <w:t xml:space="preserve">Uwrażliwienie na krzywdę i cierpienie drugiego człowieka: </w:t>
      </w:r>
      <w:r>
        <w:rPr>
          <w:rStyle w:val="Strong"/>
          <w:rFonts w:ascii="Times New Roman" w:hAnsi="Times New Roman"/>
          <w:b w:val="false"/>
          <w:sz w:val="24"/>
          <w:szCs w:val="24"/>
        </w:rPr>
        <w:t xml:space="preserve">Hospitalizacja jest </w:t>
        <w:br/>
        <w:t xml:space="preserve">dla dziecka sytuacją trudną, często wiążącą się z lękiem i bólem. Promowanie postawy </w:t>
        <w:br/>
        <w:t>Patronki uczy empatii i solidarności rówieśniczej. Pomaga uczniom dostrzec potrzeby innych pacjentów na oddziale, co redukuje egocentryzm skupiony wokół własnej choroby.</w:t>
      </w:r>
    </w:p>
    <w:p>
      <w:pPr>
        <w:pStyle w:val="ListParagraph"/>
        <w:numPr>
          <w:ilvl w:val="0"/>
          <w:numId w:val="6"/>
        </w:numPr>
        <w:spacing w:before="144" w:after="192"/>
        <w:jc w:val="both"/>
        <w:rPr>
          <w:rFonts w:ascii="Times New Roman" w:hAnsi="Times New Roman"/>
          <w:b/>
          <w:b/>
          <w:sz w:val="24"/>
          <w:szCs w:val="24"/>
        </w:rPr>
      </w:pPr>
      <w:r>
        <w:rPr>
          <w:rStyle w:val="Strong"/>
          <w:rFonts w:ascii="Times New Roman" w:hAnsi="Times New Roman"/>
          <w:sz w:val="24"/>
          <w:szCs w:val="24"/>
        </w:rPr>
        <w:t>Ochrona godności ludzkiej i szacunek ponad</w:t>
      </w:r>
      <w:r>
        <w:rPr>
          <w:rStyle w:val="Strong"/>
        </w:rPr>
        <w:t xml:space="preserve"> </w:t>
      </w:r>
      <w:r>
        <w:rPr>
          <w:rStyle w:val="Strong"/>
          <w:rFonts w:ascii="Times New Roman" w:hAnsi="Times New Roman"/>
          <w:sz w:val="24"/>
          <w:szCs w:val="24"/>
        </w:rPr>
        <w:t>podziałami:</w:t>
      </w:r>
      <w:r>
        <w:rPr>
          <w:rFonts w:ascii="Times New Roman" w:hAnsi="Times New Roman"/>
          <w:sz w:val="24"/>
          <w:szCs w:val="24"/>
        </w:rPr>
        <w:t xml:space="preserve"> W zróżnicowanym środowisku szpitalnym – gdzie spotykają się dzieci z różnymi schorzeniami (w tym pacjenci Kliniki Psychiatrii) oraz uczniowie z doświadczeniem migracyjnym – etos Sendlerowej </w:t>
        <w:br/>
        <w:t xml:space="preserve">zobowiązuje do bezwzględnego szacunku dla każdego człowieka, przeciwdziałania </w:t>
        <w:br/>
        <w:t>stygmatyzacji oraz eliminowania zdiagnozowanej w ewaluacji agresji słownej.</w:t>
      </w:r>
    </w:p>
    <w:p>
      <w:pPr>
        <w:pStyle w:val="ListParagraph"/>
        <w:numPr>
          <w:ilvl w:val="0"/>
          <w:numId w:val="6"/>
        </w:numPr>
        <w:spacing w:before="144" w:after="192"/>
        <w:jc w:val="both"/>
        <w:rPr>
          <w:rStyle w:val="Strong"/>
          <w:rFonts w:ascii="Times New Roman" w:hAnsi="Times New Roman"/>
          <w:bCs w:val="false"/>
          <w:sz w:val="24"/>
          <w:szCs w:val="24"/>
        </w:rPr>
      </w:pPr>
      <w:r>
        <w:rPr>
          <w:rStyle w:val="Strong"/>
          <w:rFonts w:ascii="Times New Roman" w:hAnsi="Times New Roman"/>
          <w:sz w:val="24"/>
          <w:szCs w:val="24"/>
        </w:rPr>
        <w:t xml:space="preserve">Kształtowanie postawy prospołecznej i gotowości do niesienia pomocy: </w:t>
      </w:r>
      <w:r>
        <w:rPr>
          <w:rStyle w:val="Strong"/>
          <w:rFonts w:ascii="Times New Roman" w:hAnsi="Times New Roman"/>
          <w:b w:val="false"/>
          <w:sz w:val="24"/>
          <w:szCs w:val="24"/>
        </w:rPr>
        <w:t xml:space="preserve">Poprzez </w:t>
        <w:br/>
        <w:t xml:space="preserve">odwołanie do odwagi Patronki, szkoła stymuluje uczniów do aktywności, przełamując szpitalną bierność. Uczniowie są zachęcani do podejmowania drobnych działań pomocowych, udziału w projektach i konkursach (np. „Uśmiechnij się”), co buduje ich poczucie </w:t>
        <w:br/>
        <w:t>sprawczości i własnej wartości mimo ograniczeń zdrowotnych.</w:t>
      </w:r>
    </w:p>
    <w:p>
      <w:pPr>
        <w:pStyle w:val="ListParagraph"/>
        <w:numPr>
          <w:ilvl w:val="0"/>
          <w:numId w:val="6"/>
        </w:numPr>
        <w:spacing w:before="144" w:after="192"/>
        <w:jc w:val="both"/>
        <w:rPr>
          <w:rFonts w:ascii="Times New Roman" w:hAnsi="Times New Roman"/>
          <w:b/>
          <w:b/>
          <w:sz w:val="24"/>
          <w:szCs w:val="24"/>
        </w:rPr>
      </w:pPr>
      <w:r>
        <w:rPr>
          <w:rStyle w:val="Strong"/>
          <w:rFonts w:ascii="Times New Roman" w:hAnsi="Times New Roman"/>
          <w:sz w:val="24"/>
          <w:szCs w:val="24"/>
        </w:rPr>
        <w:t>Wychowanie do wartości jako budowanie odporności psychicznej:</w:t>
      </w:r>
      <w:r>
        <w:rPr>
          <w:rFonts w:ascii="Times New Roman" w:hAnsi="Times New Roman"/>
          <w:sz w:val="24"/>
          <w:szCs w:val="24"/>
        </w:rPr>
        <w:t xml:space="preserve"> Praca z biografią </w:t>
        <w:br/>
        <w:t>Ireny Sendlerowej uczy, że człowiek potrafi odnaleźć sens, nadzieję i siłę nawet w skrajnie trudnych, kryzysowych okolicznościach. Taki przekaz wzmacnia odporność psychiczną dzieci walczących z przewlekłą chorobą.</w:t>
      </w:r>
    </w:p>
    <w:p>
      <w:pPr>
        <w:pStyle w:val="Tretekstu"/>
        <w:spacing w:before="288" w:after="144"/>
        <w:rPr>
          <w:b/>
          <w:b/>
        </w:rPr>
      </w:pPr>
      <w:r>
        <w:rPr>
          <w:b/>
        </w:rPr>
        <w:t>Cele edukacyjno-wychowawcze związane z Patronem na rok szkolny 2026/2027:</w:t>
      </w:r>
    </w:p>
    <w:p>
      <w:pPr>
        <w:pStyle w:val="Tretekstu"/>
        <w:numPr>
          <w:ilvl w:val="0"/>
          <w:numId w:val="7"/>
        </w:numPr>
        <w:spacing w:before="0" w:after="0"/>
        <w:jc w:val="both"/>
        <w:rPr/>
      </w:pPr>
      <w:r>
        <w:rPr>
          <w:rStyle w:val="Strong"/>
        </w:rPr>
        <w:t>Wymiar indywidualny:</w:t>
      </w:r>
      <w:r>
        <w:rPr/>
        <w:t xml:space="preserve"> Budzenie w uczniu-pacjencie wewnętrznej siły, godności i wiary we własne możliwości (wzorowane na sile charakteru Patronki).</w:t>
      </w:r>
    </w:p>
    <w:p>
      <w:pPr>
        <w:pStyle w:val="Tretekstu"/>
        <w:numPr>
          <w:ilvl w:val="0"/>
          <w:numId w:val="7"/>
        </w:numPr>
        <w:spacing w:before="0" w:after="0"/>
        <w:jc w:val="both"/>
        <w:rPr/>
      </w:pPr>
      <w:r>
        <w:rPr>
          <w:rStyle w:val="Strong"/>
        </w:rPr>
        <w:t>Wymiar relacyjny:</w:t>
      </w:r>
      <w:r>
        <w:rPr/>
        <w:t xml:space="preserve"> Kształtowanie kultury słowa, tolerancji i łagodzenia napięć rówieśniczych na oddziałach poprzez wdrażanie zasad dialogu opartych na szacunku.</w:t>
      </w:r>
    </w:p>
    <w:p>
      <w:pPr>
        <w:pStyle w:val="Tretekstu"/>
        <w:numPr>
          <w:ilvl w:val="0"/>
          <w:numId w:val="7"/>
        </w:numPr>
        <w:spacing w:before="0" w:after="0"/>
        <w:jc w:val="both"/>
        <w:rPr/>
      </w:pPr>
      <w:r>
        <w:rPr>
          <w:rStyle w:val="Strong"/>
        </w:rPr>
        <w:t>Wymiar obywatelski:</w:t>
      </w:r>
      <w:r>
        <w:rPr/>
        <w:t xml:space="preserve"> Integracja wartości patriotycznych z codzienną, bezinteresowną pomocą drugiemu człowiekowi (edukacja ku wartościom najwyższym: prawdzie, dobru </w:t>
        <w:br/>
        <w:t>i pięknu)</w:t>
      </w:r>
    </w:p>
    <w:p>
      <w:pPr>
        <w:pStyle w:val="Tretekstu"/>
        <w:spacing w:before="144" w:after="192"/>
        <w:rPr/>
      </w:pPr>
      <w:r>
        <w:rPr/>
      </w:r>
    </w:p>
    <w:p>
      <w:pPr>
        <w:pStyle w:val="Normal"/>
        <w:spacing w:before="144" w:after="192"/>
        <w:rPr>
          <w:b/>
          <w:b/>
        </w:rPr>
      </w:pPr>
      <w:r>
        <w:rPr>
          <w:b/>
        </w:rPr>
        <w:t>IV. ANALIZA, DIAGNOZA POTRZEB UCZNIÓW I WNIOSKI Z EWALUACJI</w:t>
      </w:r>
    </w:p>
    <w:p>
      <w:pPr>
        <w:pStyle w:val="Normal"/>
        <w:ind w:firstLine="709"/>
        <w:jc w:val="both"/>
        <w:rPr/>
      </w:pPr>
      <w:r>
        <w:rPr/>
        <w:t xml:space="preserve">Konstrukcja niniejszego programu została oparta na pogłębionej diagnozie środowiska szkoły szpitalnej, przeprowadzonej pod koniec roku szkolnego 2025/2026. Diagnoza objęła potrzeby rozwojowe uczniów, czynniki chroniące i czynniki ryzyka, ze szczególnym uwzględnieniem zagrożeń związanych z substancjami psychoaktywnymi oraz funkcjonowaniem uczniów </w:t>
        <w:br/>
        <w:t>w środowisku cyfrowym, a także kondycji psychofizycznej uczniów w sytuacji hospitalizacji.</w:t>
      </w:r>
    </w:p>
    <w:p>
      <w:pPr>
        <w:pStyle w:val="Normal"/>
        <w:spacing w:before="288" w:after="144"/>
        <w:jc w:val="both"/>
        <w:rPr>
          <w:b/>
          <w:b/>
        </w:rPr>
      </w:pPr>
      <w:r>
        <w:rPr>
          <w:b/>
        </w:rPr>
        <w:t>1. Metodologia i baza diagnostyczna</w:t>
      </w:r>
    </w:p>
    <w:p>
      <w:pPr>
        <w:pStyle w:val="Normal"/>
        <w:spacing w:before="144" w:after="192"/>
        <w:ind w:firstLine="709"/>
        <w:jc w:val="both"/>
        <w:rPr/>
      </w:pPr>
      <w:r>
        <w:rPr/>
        <w:t>Wnioski i kierunki działań na rok szkolny 2026/2027 wypracowano na podstawie wieloaspektowego badania ewaluacyjnego, w którym udział wzięli:</w:t>
      </w:r>
    </w:p>
    <w:p>
      <w:pPr>
        <w:pStyle w:val="Tretekstu"/>
        <w:numPr>
          <w:ilvl w:val="0"/>
          <w:numId w:val="1"/>
        </w:numPr>
        <w:spacing w:before="0" w:after="0"/>
        <w:ind w:left="0" w:hanging="0"/>
        <w:rPr/>
      </w:pPr>
      <w:r>
        <w:rPr>
          <w:rStyle w:val="Strong"/>
        </w:rPr>
        <w:t>93 uczniów-pacjentów</w:t>
      </w:r>
      <w:r>
        <w:rPr/>
        <w:t xml:space="preserve"> przebywających na oddziałach szpitalnych (badanie ankietowe).</w:t>
      </w:r>
    </w:p>
    <w:p>
      <w:pPr>
        <w:pStyle w:val="Tretekstu"/>
        <w:numPr>
          <w:ilvl w:val="0"/>
          <w:numId w:val="1"/>
        </w:numPr>
        <w:spacing w:before="0" w:after="0"/>
        <w:ind w:left="0" w:hanging="0"/>
        <w:rPr/>
      </w:pPr>
      <w:r>
        <w:rPr>
          <w:rStyle w:val="Strong"/>
        </w:rPr>
        <w:t>34 nauczycieli</w:t>
      </w:r>
      <w:r>
        <w:rPr/>
        <w:t xml:space="preserve"> (badanie ankietowe).</w:t>
      </w:r>
    </w:p>
    <w:p>
      <w:pPr>
        <w:pStyle w:val="Tretekstu"/>
        <w:numPr>
          <w:ilvl w:val="0"/>
          <w:numId w:val="1"/>
        </w:numPr>
        <w:spacing w:before="0" w:after="0"/>
        <w:ind w:left="0" w:hanging="0"/>
        <w:rPr/>
      </w:pPr>
      <w:r>
        <w:rPr>
          <w:rStyle w:val="Strong"/>
        </w:rPr>
        <w:t>40 nauczycieli</w:t>
      </w:r>
      <w:r>
        <w:rPr/>
        <w:t xml:space="preserve"> realizujących zajęcia na oddziałach (analiza arkuszy sprawozdawczych).</w:t>
      </w:r>
    </w:p>
    <w:p>
      <w:pPr>
        <w:pStyle w:val="Tretekstu"/>
        <w:spacing w:before="288" w:after="144"/>
        <w:rPr>
          <w:b/>
          <w:b/>
        </w:rPr>
      </w:pPr>
      <w:r>
        <w:rPr>
          <w:b/>
        </w:rPr>
        <w:t>2. Główne problemy i czynniki ryzyka zidentyfikowane w badaniu</w:t>
      </w:r>
    </w:p>
    <w:p>
      <w:pPr>
        <w:pStyle w:val="Tretekstu"/>
        <w:spacing w:before="144" w:after="192"/>
        <w:ind w:firstLine="709"/>
        <w:rPr/>
      </w:pPr>
      <w:r>
        <w:rPr/>
        <w:t>Analiza danych ilościowych i jakościowych pozwoliła na precyzyjne nazwanie kluczowych obszarów problemowych:</w:t>
      </w:r>
    </w:p>
    <w:p>
      <w:pPr>
        <w:pStyle w:val="Tretekstu"/>
        <w:numPr>
          <w:ilvl w:val="0"/>
          <w:numId w:val="8"/>
        </w:numPr>
        <w:spacing w:before="144" w:after="192"/>
        <w:jc w:val="both"/>
        <w:rPr/>
      </w:pPr>
      <w:r>
        <w:rPr>
          <w:rStyle w:val="Strong"/>
        </w:rPr>
        <w:t>Zagrożenia cyfrowe i brak higieny cyfrowej:</w:t>
      </w:r>
      <w:r>
        <w:rPr/>
        <w:t xml:space="preserve"> Nadużywanie smartfonów oraz bezcelowe spędzanie czasu w sieci zostało zidentyfikowane przez kadrę pedagogiczną jako dominujący problem behawioralny. Izolacja szpitalna sprzyja ucieczce uczniów w świat wirtualny, </w:t>
        <w:br/>
        <w:t>co generuje ryzyko syndromu FOMO oraz zaburza naturalne procesy adaptacyjne na oddziale.</w:t>
      </w:r>
    </w:p>
    <w:p>
      <w:pPr>
        <w:pStyle w:val="Tretekstu"/>
        <w:numPr>
          <w:ilvl w:val="0"/>
          <w:numId w:val="8"/>
        </w:numPr>
        <w:spacing w:before="144" w:after="192"/>
        <w:jc w:val="both"/>
        <w:rPr/>
      </w:pPr>
      <w:r>
        <w:rPr>
          <w:rStyle w:val="Strong"/>
        </w:rPr>
        <w:t>Agresja słowna w relacjach rówieśniczych:</w:t>
      </w:r>
      <w:r>
        <w:rPr/>
        <w:t xml:space="preserve"> W ankietach uczniowskich agresja słowna została wskazana przez pacjentów jako najbardziej dotkliwe zjawisko w przestrzeni szkolno-oddziałowej. Co istotne, na terenie szkoły praktycznie nie odnotowano incydentów agresji fizycznej czy cyberprzemocy.</w:t>
      </w:r>
    </w:p>
    <w:p>
      <w:pPr>
        <w:pStyle w:val="Tretekstu"/>
        <w:numPr>
          <w:ilvl w:val="0"/>
          <w:numId w:val="8"/>
        </w:numPr>
        <w:spacing w:before="144" w:after="192"/>
        <w:jc w:val="both"/>
        <w:rPr/>
      </w:pPr>
      <w:r>
        <w:rPr>
          <w:rStyle w:val="Strong"/>
        </w:rPr>
        <w:t>Wysoki poziom lęku i opór regulaminowy na psychiatrii:</w:t>
      </w:r>
      <w:r>
        <w:rPr/>
        <w:t xml:space="preserve"> Badania potwierdziły wyraźną polaryzację potrzeb w zależności od profilu oddziału. Wyższy poziom lęku, obniżony nastrój oraz trudności z akceptacją i zrozumieniem regulaminów wewnątrzoddziałowych stwierdzono wśród pacjentów Kliniki Psychiatrii Dzieci i Młodzieży.</w:t>
      </w:r>
    </w:p>
    <w:p>
      <w:pPr>
        <w:pStyle w:val="Tretekstu"/>
        <w:numPr>
          <w:ilvl w:val="0"/>
          <w:numId w:val="8"/>
        </w:numPr>
        <w:spacing w:before="144" w:after="192"/>
        <w:jc w:val="both"/>
        <w:rPr>
          <w:rStyle w:val="Strong"/>
          <w:b w:val="false"/>
          <w:b w:val="false"/>
          <w:bCs w:val="false"/>
        </w:rPr>
      </w:pPr>
      <w:r>
        <w:rPr>
          <w:rStyle w:val="Strong"/>
        </w:rPr>
        <w:t xml:space="preserve">Problemy somatyczno-nawykowe: </w:t>
      </w:r>
      <w:r>
        <w:rPr>
          <w:rStyle w:val="Strong"/>
          <w:b w:val="false"/>
        </w:rPr>
        <w:t>Nauczyciele zasygnalizowali występowanie u uczniów-pacjentów trudności w obszarze odżywiania, nieprawidłowych nawyków żywieniowych, problemów z higieną osobistą oraz zaburzeń rytmu snu.</w:t>
      </w:r>
    </w:p>
    <w:p>
      <w:pPr>
        <w:pStyle w:val="Tretekstu"/>
        <w:numPr>
          <w:ilvl w:val="0"/>
          <w:numId w:val="8"/>
        </w:numPr>
        <w:spacing w:before="144" w:after="192"/>
        <w:jc w:val="both"/>
        <w:rPr/>
      </w:pPr>
      <w:r>
        <w:rPr>
          <w:rStyle w:val="Strong"/>
        </w:rPr>
        <w:t>Deficyty motywacyjne i edukacyjne:</w:t>
      </w:r>
      <w:r>
        <w:rPr/>
        <w:t xml:space="preserve"> Hospitalizacja i obawa przed przyszłością generują </w:t>
        <w:br/>
        <w:t xml:space="preserve">u uczniów poczucie bezradności, bierność oraz lęk przed zaległościami szkolnymi, </w:t>
        <w:br/>
        <w:t>co skutkuje unikaniem obowiązków.</w:t>
      </w:r>
    </w:p>
    <w:p>
      <w:pPr>
        <w:pStyle w:val="Normal"/>
        <w:ind w:firstLine="360"/>
        <w:jc w:val="both"/>
        <w:rPr/>
      </w:pPr>
      <w:r>
        <w:rPr>
          <w:b/>
        </w:rPr>
        <w:t>Zagrożenia związane z substancjami psychoaktywnymi:</w:t>
      </w:r>
      <w:r>
        <w:rPr/>
        <w:t xml:space="preserve"> W przeprowadzonej diagnozie nie stwierdzono istotnego nasilenia problemów związanych z używaniem substancji psychotropowych, środków zastępczych ani nowych substancji psychoaktywnych. Ze względu na ustawowy charakter tego obszaru szkoła będzie kontynuowała działania profilaktyczne, informacyjne i monitorujące, dostosowane do wieku oraz sytuacji zdrowotnej uczniów.</w:t>
      </w:r>
    </w:p>
    <w:p>
      <w:pPr>
        <w:pStyle w:val="Tretekstu"/>
        <w:spacing w:before="288" w:after="144"/>
        <w:rPr>
          <w:b/>
          <w:b/>
        </w:rPr>
      </w:pPr>
      <w:r>
        <w:rPr>
          <w:b/>
        </w:rPr>
        <w:t>3. Zidentyfikowane czynniki chroniące (Zasoby szkoły do wykorzystania)</w:t>
      </w:r>
    </w:p>
    <w:p>
      <w:pPr>
        <w:pStyle w:val="Tretekstu"/>
        <w:spacing w:before="144" w:after="192"/>
        <w:ind w:firstLine="709"/>
        <w:rPr/>
      </w:pPr>
      <w:r>
        <w:rPr/>
        <w:t>Ewaluacja wykazała wysoki potencjał instytucjonalny szkoły, który stanowi bazę dla działań profilaktycznych:</w:t>
      </w:r>
    </w:p>
    <w:p>
      <w:pPr>
        <w:pStyle w:val="Tretekstu"/>
        <w:numPr>
          <w:ilvl w:val="0"/>
          <w:numId w:val="9"/>
        </w:numPr>
        <w:spacing w:before="144" w:after="192"/>
        <w:jc w:val="both"/>
        <w:rPr/>
      </w:pPr>
      <w:r>
        <w:rPr>
          <w:rStyle w:val="Strong"/>
        </w:rPr>
        <w:t>Wysokie zaangażowanie w formy aktywne:</w:t>
      </w:r>
      <w:r>
        <w:rPr/>
        <w:t xml:space="preserve"> Uczniowie najlepiej reagują na </w:t>
      </w:r>
      <w:r>
        <w:rPr>
          <w:rStyle w:val="Strong"/>
        </w:rPr>
        <w:t xml:space="preserve">warsztaty </w:t>
        <w:br/>
        <w:t>ze specjalistami</w:t>
      </w:r>
      <w:r>
        <w:rPr/>
        <w:t xml:space="preserve"> (38% wskazań wysokiego zaangażowania) oraz </w:t>
      </w:r>
      <w:r>
        <w:rPr>
          <w:rStyle w:val="Strong"/>
        </w:rPr>
        <w:t xml:space="preserve">projekty edukacyjne </w:t>
        <w:br/>
        <w:t>i konkursy</w:t>
      </w:r>
      <w:r>
        <w:rPr/>
        <w:t xml:space="preserve"> (32%). Tradycyjne formy podawcze (pogadanki) wykazują okresowo niską efektywność.</w:t>
      </w:r>
    </w:p>
    <w:p>
      <w:pPr>
        <w:pStyle w:val="Tretekstu"/>
        <w:numPr>
          <w:ilvl w:val="0"/>
          <w:numId w:val="9"/>
        </w:numPr>
        <w:spacing w:before="144" w:after="192"/>
        <w:jc w:val="both"/>
        <w:rPr/>
      </w:pPr>
      <w:r>
        <w:rPr>
          <w:rStyle w:val="Strong"/>
        </w:rPr>
        <w:t>Wspierająca rola natury:</w:t>
      </w:r>
      <w:r>
        <w:rPr/>
        <w:t xml:space="preserve"> Wyjścia terenowe i kontakt z przyrodą (np. wyjścia pacjentów Dziennej Kliniki Psychiatrii z edukatorem MDK) okazały się kluczowym czynnikiem chroniącym, podnoszącym dobrostan psychiczny i samodzielność uczniów.</w:t>
      </w:r>
    </w:p>
    <w:p>
      <w:pPr>
        <w:pStyle w:val="Tretekstu"/>
        <w:numPr>
          <w:ilvl w:val="0"/>
          <w:numId w:val="9"/>
        </w:numPr>
        <w:spacing w:before="144" w:after="192"/>
        <w:jc w:val="both"/>
        <w:rPr/>
      </w:pPr>
      <w:r>
        <w:rPr>
          <w:rStyle w:val="Strong"/>
        </w:rPr>
        <w:t>Autonomia i skuteczność interwencyjna:</w:t>
      </w:r>
      <w:r>
        <w:rPr/>
        <w:t xml:space="preserve"> Blisko 40% nauczycieli skutecznie rozwiązuje sytuacje kryzysowe bezpośrednio na oddziale we współpracy z personelem medycznym. Tylko w 30% przypadków wymagane jest angażowanie dyrekcji lub pedagoga, co świadczy o sprawności procedur i braku anonimowości w małych grupach.</w:t>
      </w:r>
    </w:p>
    <w:p>
      <w:pPr>
        <w:pStyle w:val="Tretekstu"/>
        <w:numPr>
          <w:ilvl w:val="0"/>
          <w:numId w:val="9"/>
        </w:numPr>
        <w:spacing w:before="144" w:after="192"/>
        <w:jc w:val="both"/>
        <w:rPr/>
      </w:pPr>
      <w:r>
        <w:rPr>
          <w:rStyle w:val="Strong"/>
        </w:rPr>
        <w:t>Przyrost wiedzy:</w:t>
      </w:r>
      <w:r>
        <w:rPr/>
        <w:t xml:space="preserve"> Dzięki dotychczasowym działaniom uczniowie zadeklarowali realny przyrost wiedzy w obszarach: zdrowego stylu życia (61 wskazań), komunikacji (60 wskazań) oraz radzenia sobie ze stresem (56 wskazań).</w:t>
      </w:r>
    </w:p>
    <w:p>
      <w:pPr>
        <w:pStyle w:val="Tretekstu"/>
        <w:numPr>
          <w:ilvl w:val="0"/>
          <w:numId w:val="9"/>
        </w:numPr>
        <w:spacing w:before="144" w:after="192"/>
        <w:jc w:val="both"/>
        <w:rPr/>
      </w:pPr>
      <w:r>
        <w:rPr>
          <w:b/>
          <w:bCs/>
        </w:rPr>
        <w:t>Kompetencje i zaangażowanie:</w:t>
      </w:r>
      <w:r>
        <w:rPr/>
        <w:t xml:space="preserve"> Dobre przygotowanie merytoryczne nauczycieli oraz dostęp do interdyscyplinarnego środowiska specjalistów</w:t>
      </w:r>
    </w:p>
    <w:p>
      <w:pPr>
        <w:pStyle w:val="Tretekstu"/>
        <w:spacing w:before="288" w:after="144"/>
        <w:rPr>
          <w:b/>
          <w:b/>
        </w:rPr>
      </w:pPr>
      <w:r>
        <w:rPr>
          <w:b/>
        </w:rPr>
        <w:t>4. Wnioski i rekomendacje do realizacji w roku szkolnym 2026/2027</w:t>
      </w:r>
    </w:p>
    <w:p>
      <w:pPr>
        <w:pStyle w:val="Tretekstu"/>
        <w:spacing w:before="144" w:after="192"/>
        <w:rPr/>
      </w:pPr>
      <w:r>
        <w:rPr/>
        <w:t>Na podstawie powyższych danych, w nowym roku szkolnym proponuje się:</w:t>
      </w:r>
    </w:p>
    <w:p>
      <w:pPr>
        <w:pStyle w:val="Tretekstu"/>
        <w:numPr>
          <w:ilvl w:val="0"/>
          <w:numId w:val="10"/>
        </w:numPr>
        <w:spacing w:before="144" w:after="192"/>
        <w:rPr/>
      </w:pPr>
      <w:r>
        <w:rPr>
          <w:rStyle w:val="Strong"/>
        </w:rPr>
        <w:t>Odejście od teoretycznych pogadanek</w:t>
      </w:r>
      <w:r>
        <w:rPr/>
        <w:t xml:space="preserve"> na rzecz interdyscyplinarnych projektów i warsztatów z ekspertami zewnętrznymi (w tym służbami mundurowymi i dietetykami).</w:t>
      </w:r>
    </w:p>
    <w:p>
      <w:pPr>
        <w:pStyle w:val="Tretekstu"/>
        <w:numPr>
          <w:ilvl w:val="0"/>
          <w:numId w:val="10"/>
        </w:numPr>
        <w:spacing w:before="144" w:after="192"/>
        <w:jc w:val="both"/>
        <w:rPr>
          <w:rStyle w:val="Strong"/>
          <w:b w:val="false"/>
          <w:b w:val="false"/>
          <w:bCs w:val="false"/>
        </w:rPr>
      </w:pPr>
      <w:r>
        <w:rPr>
          <w:rStyle w:val="Strong"/>
        </w:rPr>
        <w:t xml:space="preserve">Wdrożenie systemowych działań z zakresu higieny cyfrowej i krytycznego myślenia </w:t>
      </w:r>
      <w:r>
        <w:rPr>
          <w:rStyle w:val="Strong"/>
          <w:b w:val="false"/>
        </w:rPr>
        <w:t>(obszar edukacji medialnej i higieny cyfrowej wynikający z aktualnych kierunków kształcenia), celem redukcji czasu spędzanego bezcelowo przed ekranem telefonu.</w:t>
      </w:r>
    </w:p>
    <w:p>
      <w:pPr>
        <w:pStyle w:val="Tretekstu"/>
        <w:numPr>
          <w:ilvl w:val="0"/>
          <w:numId w:val="10"/>
        </w:numPr>
        <w:spacing w:before="144" w:after="192"/>
        <w:jc w:val="both"/>
        <w:rPr>
          <w:rStyle w:val="Strong"/>
          <w:bCs w:val="false"/>
        </w:rPr>
      </w:pPr>
      <w:r>
        <w:rPr>
          <w:rStyle w:val="Strong"/>
        </w:rPr>
        <w:t xml:space="preserve">Wprowadzenie treningów komunikacji bez przemocy i empatii </w:t>
      </w:r>
      <w:r>
        <w:rPr>
          <w:rStyle w:val="Strong"/>
          <w:b w:val="false"/>
        </w:rPr>
        <w:t>jako bezpośredniej odpowiedzi na zdiagnozowany problem agresji słownej – przede wszystkim na oddziałach psychiatrii.</w:t>
      </w:r>
    </w:p>
    <w:p>
      <w:pPr>
        <w:pStyle w:val="Tretekstu"/>
        <w:numPr>
          <w:ilvl w:val="0"/>
          <w:numId w:val="10"/>
        </w:numPr>
        <w:spacing w:before="144" w:after="192"/>
        <w:jc w:val="both"/>
        <w:rPr>
          <w:b/>
          <w:b/>
        </w:rPr>
      </w:pPr>
      <w:r>
        <w:rPr>
          <w:rStyle w:val="Strong"/>
        </w:rPr>
        <w:t>Zintensyfikowanie na oddziale psychiatrii działań psychoedukacyjnych</w:t>
      </w:r>
      <w:r>
        <w:rPr/>
        <w:t xml:space="preserve"> ułatwiających uczniom zrozumienie i asymilację regulaminów oddziałowych, traktowanych jako element terapii i bezpieczeństwa.</w:t>
      </w:r>
    </w:p>
    <w:p>
      <w:pPr>
        <w:pStyle w:val="Tretekstu"/>
        <w:numPr>
          <w:ilvl w:val="0"/>
          <w:numId w:val="10"/>
        </w:numPr>
        <w:spacing w:before="144" w:after="192"/>
        <w:jc w:val="both"/>
        <w:rPr>
          <w:b/>
          <w:b/>
        </w:rPr>
      </w:pPr>
      <w:r>
        <w:rPr>
          <w:rStyle w:val="Strong"/>
        </w:rPr>
        <w:t>Kontynuację projektów proekologicznych i leśnych</w:t>
      </w:r>
      <w:r>
        <w:rPr/>
        <w:t xml:space="preserve"> jako udowodnionej metody wsparcia zdrowia psychicznego.</w:t>
      </w:r>
    </w:p>
    <w:p>
      <w:pPr>
        <w:pStyle w:val="Tretekstu"/>
        <w:numPr>
          <w:ilvl w:val="0"/>
          <w:numId w:val="10"/>
        </w:numPr>
        <w:spacing w:before="144" w:after="192"/>
        <w:jc w:val="both"/>
        <w:rPr>
          <w:b/>
          <w:b/>
        </w:rPr>
      </w:pPr>
      <w:r>
        <w:rPr>
          <w:b/>
        </w:rPr>
        <w:t>Kontynuację profilaktyki</w:t>
      </w:r>
      <w:r>
        <w:rPr/>
        <w:t xml:space="preserve"> dotyczącej używania substancji psychoaktywnych, w tym przekazywanie rzetelnej wiedzy o ryzyku oraz wzmacnianie czynników chroniących.</w:t>
      </w:r>
    </w:p>
    <w:p>
      <w:pPr>
        <w:pStyle w:val="Tretekstu"/>
        <w:numPr>
          <w:ilvl w:val="0"/>
          <w:numId w:val="10"/>
        </w:numPr>
        <w:spacing w:before="144" w:after="192"/>
        <w:jc w:val="both"/>
        <w:rPr>
          <w:b/>
          <w:b/>
        </w:rPr>
      </w:pPr>
      <w:r>
        <w:rPr>
          <w:b/>
        </w:rPr>
        <w:t>Doskonalenie kompetencji nauczycieli</w:t>
      </w:r>
      <w:r>
        <w:rPr/>
        <w:t xml:space="preserve"> w zakresie rozpoznawania zachowań ryzykownych, symptomów kryzysu psychicznego, przemocy rówieśniczej, zagrożeń cyfrowych oraz zasad podejmowania interwencji, z wykorzystaniem konsultacji ze specjalistami i wymiany doświadczeń w zespołach oddziałowych.</w:t>
      </w:r>
    </w:p>
    <w:p>
      <w:pPr>
        <w:pStyle w:val="Tretekstu"/>
        <w:spacing w:before="144" w:after="192"/>
        <w:rPr/>
      </w:pPr>
      <w:r>
        <w:rPr/>
      </w:r>
    </w:p>
    <w:p>
      <w:pPr>
        <w:pStyle w:val="Normal"/>
        <w:spacing w:before="144" w:after="192"/>
        <w:ind w:left="-170" w:hanging="0"/>
        <w:rPr>
          <w:b/>
          <w:b/>
        </w:rPr>
      </w:pPr>
      <w:r>
        <w:rPr>
          <w:b/>
        </w:rPr>
        <w:t>V. PROCEDURY I METODOLOGIA EWALUACJI PROGRAMU (CZERWIEC 2027)</w:t>
      </w:r>
    </w:p>
    <w:p>
      <w:pPr>
        <w:pStyle w:val="Normal"/>
        <w:spacing w:before="144" w:after="192"/>
        <w:ind w:firstLine="709"/>
        <w:jc w:val="both"/>
        <w:rPr/>
      </w:pPr>
      <w:r>
        <w:rPr/>
        <w:t xml:space="preserve">Ewaluacja Programu Wychowawczo-Profilaktycznego w Zespole Szkół nr 33 ma na celu ocenę skuteczności zaplanowanych działań, zbadanie stopnia osiągnięcia założonych efektów oraz określenie kierunków zmian na kolejny rok szkolny. Zgodnie z wymaganiami nowoczesnego nadzoru pedagogicznego na rok szkolny 2026/2027, proces ewaluacji zostanie przeprowadzony </w:t>
        <w:br/>
        <w:t>w oparciu o kryteria celowości, adekwatności i efektywności.</w:t>
      </w:r>
    </w:p>
    <w:p>
      <w:pPr>
        <w:pStyle w:val="ListParagraph"/>
        <w:numPr>
          <w:ilvl w:val="0"/>
          <w:numId w:val="11"/>
        </w:numPr>
        <w:spacing w:before="144" w:after="19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Narzędzia i źródła danych diagnostycznych</w:t>
      </w:r>
    </w:p>
    <w:p>
      <w:pPr>
        <w:pStyle w:val="Normal"/>
        <w:spacing w:before="0" w:after="283"/>
        <w:jc w:val="both"/>
        <w:rPr>
          <w:rFonts w:cs="Times New Roman"/>
        </w:rPr>
      </w:pPr>
      <w:r>
        <w:rPr/>
        <w:t xml:space="preserve">Podsumowanie stopnia realizacji programu nastąpi w </w:t>
      </w:r>
      <w:r>
        <w:rPr>
          <w:rStyle w:val="Strong"/>
        </w:rPr>
        <w:t>czerwcu 2027 roku</w:t>
      </w:r>
      <w:r>
        <w:rPr/>
        <w:t xml:space="preserve"> przy użyciu zróżnicowanych narzędzi badawczych (</w:t>
      </w:r>
      <w:r>
        <w:rPr>
          <w:rFonts w:cs="Times New Roman"/>
        </w:rPr>
        <w:t>ilościowych i jakościowych):</w:t>
      </w:r>
    </w:p>
    <w:p>
      <w:pPr>
        <w:pStyle w:val="ListParagraph"/>
        <w:numPr>
          <w:ilvl w:val="0"/>
          <w:numId w:val="12"/>
        </w:numPr>
        <w:spacing w:before="0" w:after="283"/>
        <w:jc w:val="both"/>
        <w:rPr>
          <w:rFonts w:ascii="Times New Roman" w:hAnsi="Times New Roman"/>
          <w:sz w:val="24"/>
          <w:szCs w:val="24"/>
        </w:rPr>
      </w:pPr>
      <w:r>
        <w:rPr>
          <w:rStyle w:val="Strong"/>
          <w:rFonts w:ascii="Times New Roman" w:hAnsi="Times New Roman"/>
          <w:sz w:val="24"/>
          <w:szCs w:val="24"/>
        </w:rPr>
        <w:t>Ankiety ewaluacyjne dla uczniów-pacjentów</w:t>
      </w:r>
      <w:r>
        <w:rPr>
          <w:rFonts w:ascii="Times New Roman" w:hAnsi="Times New Roman"/>
          <w:sz w:val="24"/>
          <w:szCs w:val="24"/>
        </w:rPr>
        <w:t xml:space="preserve"> – badające subiektywne poczucie </w:t>
        <w:br/>
        <w:t>bezpieczeństwa, ocenę atrakcyjności warsztatów oraz przyrost wiedzy w kluczowych obszarach (higiena cyfrowa, radzenie sobie ze stresem, komunikacja bez przemocy).</w:t>
      </w:r>
    </w:p>
    <w:p>
      <w:pPr>
        <w:pStyle w:val="ListParagraph"/>
        <w:numPr>
          <w:ilvl w:val="0"/>
          <w:numId w:val="12"/>
        </w:numPr>
        <w:spacing w:before="0" w:after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Ankiety ewaluacyjne dla rodziców uczniów-pacjentów </w:t>
      </w:r>
      <w:r>
        <w:rPr>
          <w:rFonts w:ascii="Times New Roman" w:hAnsi="Times New Roman"/>
          <w:sz w:val="24"/>
          <w:szCs w:val="24"/>
        </w:rPr>
        <w:t xml:space="preserve">- badające poczucie </w:t>
        <w:br/>
        <w:t xml:space="preserve">bezpieczeństwa na oddziałach szpitalnych i odbiór działań szkoły w zakresie zadań </w:t>
        <w:br/>
        <w:t>wychowawczych w opinii rodziców.</w:t>
      </w:r>
    </w:p>
    <w:p>
      <w:pPr>
        <w:pStyle w:val="ListParagraph"/>
        <w:numPr>
          <w:ilvl w:val="0"/>
          <w:numId w:val="12"/>
        </w:numPr>
        <w:spacing w:before="0" w:after="283"/>
        <w:jc w:val="both"/>
        <w:rPr>
          <w:rFonts w:ascii="Times New Roman" w:hAnsi="Times New Roman"/>
          <w:sz w:val="24"/>
          <w:szCs w:val="24"/>
        </w:rPr>
      </w:pPr>
      <w:r>
        <w:rPr>
          <w:rStyle w:val="Strong"/>
          <w:rFonts w:ascii="Times New Roman" w:hAnsi="Times New Roman"/>
          <w:sz w:val="24"/>
          <w:szCs w:val="24"/>
        </w:rPr>
        <w:t>Ankiety ewaluacyjne oraz arkusze sprawozdawcze nauczycieli</w:t>
      </w:r>
      <w:r>
        <w:rPr>
          <w:rFonts w:ascii="Times New Roman" w:hAnsi="Times New Roman"/>
          <w:sz w:val="24"/>
          <w:szCs w:val="24"/>
        </w:rPr>
        <w:t xml:space="preserve"> – określające procentowy stopień wykonania planu działań, diagnozujące nowe czynniki ryzyka oraz oceniające </w:t>
        <w:br/>
        <w:t>trudności metodyczne.</w:t>
      </w:r>
    </w:p>
    <w:p>
      <w:pPr>
        <w:pStyle w:val="ListParagraph"/>
        <w:numPr>
          <w:ilvl w:val="0"/>
          <w:numId w:val="12"/>
        </w:numPr>
        <w:spacing w:before="0" w:after="283"/>
        <w:jc w:val="both"/>
        <w:rPr>
          <w:rFonts w:ascii="Times New Roman" w:hAnsi="Times New Roman"/>
          <w:sz w:val="24"/>
          <w:szCs w:val="24"/>
        </w:rPr>
      </w:pPr>
      <w:r>
        <w:rPr>
          <w:rStyle w:val="Strong"/>
          <w:rFonts w:ascii="Times New Roman" w:hAnsi="Times New Roman"/>
          <w:sz w:val="24"/>
          <w:szCs w:val="24"/>
        </w:rPr>
        <w:t>Analiza frekwencji i zaangażowania</w:t>
      </w:r>
      <w:r>
        <w:rPr>
          <w:rFonts w:ascii="Times New Roman" w:hAnsi="Times New Roman"/>
          <w:sz w:val="24"/>
          <w:szCs w:val="24"/>
        </w:rPr>
        <w:t xml:space="preserve"> – monitorowanie udziału uczniów w projektach </w:t>
        <w:br/>
        <w:t>edukacyjnych, konkursach wojewódzkich i wewnątrzszkolnych oraz zajęciach terenowych.</w:t>
      </w:r>
    </w:p>
    <w:p>
      <w:pPr>
        <w:pStyle w:val="ListParagraph"/>
        <w:numPr>
          <w:ilvl w:val="0"/>
          <w:numId w:val="12"/>
        </w:numPr>
        <w:spacing w:before="0" w:after="283"/>
        <w:jc w:val="both"/>
        <w:rPr>
          <w:rFonts w:ascii="Times New Roman" w:hAnsi="Times New Roman"/>
          <w:sz w:val="24"/>
          <w:szCs w:val="24"/>
        </w:rPr>
      </w:pPr>
      <w:r>
        <w:rPr>
          <w:rStyle w:val="Strong"/>
          <w:rFonts w:ascii="Times New Roman" w:hAnsi="Times New Roman"/>
          <w:sz w:val="24"/>
          <w:szCs w:val="24"/>
        </w:rPr>
        <w:t>Wywiady i konsultacje z personelem medycznym</w:t>
      </w:r>
      <w:r>
        <w:rPr>
          <w:rFonts w:ascii="Times New Roman" w:hAnsi="Times New Roman"/>
          <w:sz w:val="24"/>
          <w:szCs w:val="24"/>
        </w:rPr>
        <w:t xml:space="preserve"> – pozyskanie opinii lekarzy, </w:t>
        <w:br/>
        <w:t xml:space="preserve">pielęgniarek i psychologów klinicznych na temat wpływu działań szkoły na dobrostan i redukcję lęku u pacjentów (ze szczególnym uwzględnieniem Kliniki Psychiatrii Dzieci </w:t>
        <w:br/>
        <w:t>i Młodzieży).</w:t>
      </w:r>
    </w:p>
    <w:p>
      <w:pPr>
        <w:pStyle w:val="ListParagraph"/>
        <w:numPr>
          <w:ilvl w:val="0"/>
          <w:numId w:val="11"/>
        </w:numPr>
        <w:spacing w:before="0" w:after="283"/>
        <w:jc w:val="both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Wskaźniki sukcesu (Kryteria efektywności na rok 2026/2027)</w:t>
      </w:r>
    </w:p>
    <w:p>
      <w:pPr>
        <w:pStyle w:val="Tretekstu"/>
        <w:spacing w:before="144" w:after="192"/>
        <w:ind w:firstLine="360"/>
        <w:jc w:val="both"/>
        <w:rPr/>
      </w:pPr>
      <w:r>
        <w:rPr/>
        <w:t>Za pozytywny wynik realizacji programu w czerwcu 2027 roku uzna się:</w:t>
      </w:r>
    </w:p>
    <w:p>
      <w:pPr>
        <w:pStyle w:val="Tretekstu"/>
        <w:numPr>
          <w:ilvl w:val="0"/>
          <w:numId w:val="13"/>
        </w:numPr>
        <w:spacing w:before="144" w:after="192"/>
        <w:jc w:val="both"/>
        <w:rPr/>
      </w:pPr>
      <w:r>
        <w:rPr>
          <w:rStyle w:val="Strong"/>
        </w:rPr>
        <w:t>Redukcję agresji słownej:</w:t>
      </w:r>
      <w:r>
        <w:rPr/>
        <w:t xml:space="preserve"> Spadek liczby wskazań uczniów dotyczących dotkliwości tego zjawiska w relacjach rówieśniczych na oddziałach.</w:t>
      </w:r>
    </w:p>
    <w:p>
      <w:pPr>
        <w:pStyle w:val="Tretekstu"/>
        <w:numPr>
          <w:ilvl w:val="0"/>
          <w:numId w:val="13"/>
        </w:numPr>
        <w:spacing w:before="144" w:after="192"/>
        <w:jc w:val="both"/>
        <w:rPr>
          <w:rStyle w:val="Strong"/>
          <w:bCs w:val="false"/>
        </w:rPr>
      </w:pPr>
      <w:r>
        <w:rPr>
          <w:rStyle w:val="Strong"/>
        </w:rPr>
        <w:t xml:space="preserve">Efektywność higieny cyfrowej: </w:t>
      </w:r>
      <w:r>
        <w:rPr>
          <w:rStyle w:val="Strong"/>
          <w:b w:val="false"/>
        </w:rPr>
        <w:t>Wzrost odsetka badanych uczniów wykazujących świadomość zagrożeń cyfrowych, znajomość zasad higieny cyfrowej i krytyczne podejście do treści oraz narzędzi cyfrowych.</w:t>
      </w:r>
    </w:p>
    <w:p>
      <w:pPr>
        <w:pStyle w:val="Tretekstu"/>
        <w:numPr>
          <w:ilvl w:val="0"/>
          <w:numId w:val="13"/>
        </w:numPr>
        <w:spacing w:before="144" w:after="192"/>
        <w:jc w:val="both"/>
        <w:rPr>
          <w:b/>
          <w:b/>
        </w:rPr>
      </w:pPr>
      <w:r>
        <w:rPr>
          <w:rStyle w:val="Strong"/>
        </w:rPr>
        <w:t>Akceptację norm na psychiatrii:</w:t>
      </w:r>
      <w:r>
        <w:rPr/>
        <w:t xml:space="preserve"> Wzrost odsetka pacjentów Kliniki Psychiatrii deklarujących jasność, zrozumiałość i celowość regulaminów oddziałowych.</w:t>
      </w:r>
    </w:p>
    <w:p>
      <w:pPr>
        <w:pStyle w:val="Tretekstu"/>
        <w:numPr>
          <w:ilvl w:val="0"/>
          <w:numId w:val="13"/>
        </w:numPr>
        <w:spacing w:before="144" w:after="192"/>
        <w:jc w:val="both"/>
        <w:rPr>
          <w:rStyle w:val="Strong"/>
          <w:bCs w:val="false"/>
        </w:rPr>
      </w:pPr>
      <w:r>
        <w:rPr>
          <w:rStyle w:val="Strong"/>
        </w:rPr>
        <w:t xml:space="preserve">Wzrost wiedzy prozdrowotnej: </w:t>
      </w:r>
      <w:r>
        <w:rPr>
          <w:rStyle w:val="Strong"/>
          <w:b w:val="false"/>
        </w:rPr>
        <w:t>Uzyskanie wyższego niż w badaniu z 2026 r. poziomu deklarowanej wiedzy uczniów w obszarze zdrowego stylu życia, prawidłowych nawyków żywieniowych i zachowań prozdrowotnych.</w:t>
      </w:r>
    </w:p>
    <w:p>
      <w:pPr>
        <w:pStyle w:val="Tretekstu"/>
        <w:numPr>
          <w:ilvl w:val="0"/>
          <w:numId w:val="13"/>
        </w:numPr>
        <w:spacing w:before="144" w:after="192"/>
        <w:jc w:val="both"/>
        <w:rPr>
          <w:b/>
          <w:b/>
        </w:rPr>
      </w:pPr>
      <w:r>
        <w:rPr>
          <w:rStyle w:val="Strong"/>
        </w:rPr>
        <w:t>Utrzymanie wysokiej autonomii:</w:t>
      </w:r>
      <w:r>
        <w:rPr/>
        <w:t xml:space="preserve"> Zachowanie dotychczasowej sprawności procedur interwencyjnych (rozwiązywanie większości problemów bezpośrednio na oddziale </w:t>
        <w:br/>
        <w:t>we współpracy z personelem medycznym).</w:t>
      </w:r>
    </w:p>
    <w:p>
      <w:pPr>
        <w:pStyle w:val="Tretekstu"/>
        <w:numPr>
          <w:ilvl w:val="0"/>
          <w:numId w:val="11"/>
        </w:numPr>
        <w:spacing w:before="144" w:after="192"/>
        <w:jc w:val="both"/>
        <w:rPr>
          <w:b/>
          <w:b/>
        </w:rPr>
      </w:pPr>
      <w:r>
        <w:rPr>
          <w:b/>
        </w:rPr>
        <w:t>Wykorzystanie wyników ewaluacji</w:t>
      </w:r>
    </w:p>
    <w:p>
      <w:pPr>
        <w:pStyle w:val="Tretekstu"/>
        <w:spacing w:before="144" w:after="192"/>
        <w:ind w:firstLine="360"/>
        <w:jc w:val="both"/>
        <w:rPr/>
      </w:pPr>
      <w:r>
        <w:rPr/>
        <w:t xml:space="preserve">Wyniki ankiet i sprawozdań zostaną poddane szczegółowej analizie statystycznej </w:t>
        <w:br/>
        <w:t>i merytorycznej przez Zespół ds. Wychowania i Profilaktyki.</w:t>
      </w:r>
    </w:p>
    <w:p>
      <w:pPr>
        <w:pStyle w:val="Tretekstu"/>
        <w:numPr>
          <w:ilvl w:val="0"/>
          <w:numId w:val="14"/>
        </w:numPr>
        <w:spacing w:before="144" w:after="192"/>
        <w:jc w:val="both"/>
        <w:rPr/>
      </w:pPr>
      <w:r>
        <w:rPr/>
        <w:t xml:space="preserve">Zbiorczy raport z realizacji programu zostanie przedstawiony i omówiony </w:t>
        <w:br/>
        <w:t xml:space="preserve">na </w:t>
      </w:r>
      <w:r>
        <w:rPr>
          <w:rStyle w:val="Strong"/>
        </w:rPr>
        <w:t>podsumowującym zebraniu Rady Pedagogicznej w czerwcu 2027 roku</w:t>
      </w:r>
      <w:r>
        <w:rPr/>
        <w:t>.</w:t>
      </w:r>
    </w:p>
    <w:p>
      <w:pPr>
        <w:pStyle w:val="Tretekstu"/>
        <w:numPr>
          <w:ilvl w:val="0"/>
          <w:numId w:val="14"/>
        </w:numPr>
        <w:spacing w:before="144" w:after="192"/>
        <w:jc w:val="both"/>
        <w:rPr/>
      </w:pPr>
      <w:r>
        <w:rPr/>
        <w:t xml:space="preserve">Wnioski i rekomendacje z raportu staną się obligatoryjnym punktem wyjścia </w:t>
        <w:br/>
        <w:t>do konstrukcji programu wychowawczo-profilaktycznego na kolejny rok szkolny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jc w:val="center"/>
        <w:rPr>
          <w:b/>
          <w:b/>
        </w:rPr>
      </w:pPr>
      <w:r>
        <w:rPr>
          <w:b/>
        </w:rPr>
        <w:t>Plan działań wychowawczo-profilaktycznych na rok szkolny 2026/2027</w:t>
      </w:r>
    </w:p>
    <w:p>
      <w:pPr>
        <w:pStyle w:val="Normal"/>
        <w:jc w:val="center"/>
        <w:rPr/>
      </w:pPr>
      <w:r>
        <w:rPr/>
      </w:r>
    </w:p>
    <w:tbl>
      <w:tblPr>
        <w:tblW w:w="9622" w:type="dxa"/>
        <w:jc w:val="center"/>
        <w:tblInd w:w="0" w:type="dxa"/>
        <w:tblCellMar>
          <w:top w:w="0" w:type="dxa"/>
          <w:left w:w="10" w:type="dxa"/>
          <w:bottom w:w="0" w:type="dxa"/>
          <w:right w:w="10" w:type="dxa"/>
        </w:tblCellMar>
        <w:tblLook w:firstRow="1" w:noVBand="1" w:lastRow="0" w:firstColumn="1" w:lastColumn="0" w:noHBand="0" w:val="04a0"/>
      </w:tblPr>
      <w:tblGrid>
        <w:gridCol w:w="1924"/>
        <w:gridCol w:w="1924"/>
        <w:gridCol w:w="1925"/>
        <w:gridCol w:w="1924"/>
        <w:gridCol w:w="1925"/>
      </w:tblGrid>
      <w:tr>
        <w:trPr>
          <w:tblHeader w:val="true"/>
          <w:cantSplit w:val="true"/>
        </w:trPr>
        <w:tc>
          <w:tcPr>
            <w:tcW w:w="19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Obszar tematyczny / Cel</w:t>
            </w:r>
          </w:p>
        </w:tc>
        <w:tc>
          <w:tcPr>
            <w:tcW w:w="19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Formy realizacji i konkretne działania</w:t>
              <w:br/>
              <w:t>(bazujące na sukcesach 2025/2026)</w:t>
            </w:r>
          </w:p>
        </w:tc>
        <w:tc>
          <w:tcPr>
            <w:tcW w:w="192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Sposób realizacji / Metody aktywizujące</w:t>
            </w:r>
          </w:p>
        </w:tc>
        <w:tc>
          <w:tcPr>
            <w:tcW w:w="19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Odpowiedzialni</w:t>
            </w:r>
          </w:p>
        </w:tc>
        <w:tc>
          <w:tcPr>
            <w:tcW w:w="192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Oczekiwane efekty</w:t>
              <w:br/>
              <w:t>(Wskaźniki sukcesu)</w:t>
            </w:r>
          </w:p>
        </w:tc>
      </w:tr>
      <w:tr>
        <w:trPr>
          <w:cantSplit w:val="true"/>
        </w:trPr>
        <w:tc>
          <w:tcPr>
            <w:tcW w:w="19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Normal"/>
              <w:rPr/>
            </w:pPr>
            <w:r>
              <w:rPr>
                <w:b/>
                <w:sz w:val="17"/>
              </w:rPr>
              <w:t>1. Ochrona zdrowia psychicznego i wsparcie emocjonalne</w:t>
            </w:r>
            <w:r>
              <w:rPr/>
              <w:br/>
              <w:br/>
            </w:r>
            <w:r>
              <w:rPr>
                <w:i/>
                <w:sz w:val="16"/>
              </w:rPr>
              <w:t>Cel: Redukcja stresu szpitalnego, lęku oraz przeciwdziałanie agresji słownej.</w:t>
            </w:r>
          </w:p>
        </w:tc>
        <w:tc>
          <w:tcPr>
            <w:tcW w:w="19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Normal"/>
              <w:spacing w:before="0" w:after="20"/>
              <w:rPr/>
            </w:pPr>
            <w:r>
              <w:rPr>
                <w:sz w:val="16"/>
              </w:rPr>
              <w:t xml:space="preserve">• </w:t>
            </w:r>
            <w:r>
              <w:rPr>
                <w:sz w:val="16"/>
              </w:rPr>
              <w:t>Kontynuacja innowacji i projektów terapeutycznych: „Czytamy, rozmawiamy, gramy!”, „Młode Głowy – otwarcie o zdrowiu psychicznym”.</w:t>
            </w:r>
          </w:p>
          <w:p>
            <w:pPr>
              <w:pStyle w:val="Normal"/>
              <w:spacing w:before="0" w:after="20"/>
              <w:rPr/>
            </w:pPr>
            <w:r>
              <w:rPr>
                <w:sz w:val="16"/>
              </w:rPr>
              <w:t xml:space="preserve">• </w:t>
            </w:r>
            <w:r>
              <w:rPr>
                <w:sz w:val="16"/>
              </w:rPr>
              <w:t>Warsztaty z komunikacji bez przemocy i radzenia sobie z emocjami – przeciwdziałanie agresji słownej.</w:t>
            </w:r>
          </w:p>
          <w:p>
            <w:pPr>
              <w:pStyle w:val="Normal"/>
              <w:spacing w:before="0" w:after="20"/>
              <w:rPr/>
            </w:pPr>
            <w:r>
              <w:rPr>
                <w:sz w:val="16"/>
              </w:rPr>
              <w:t xml:space="preserve">• </w:t>
            </w:r>
            <w:r>
              <w:rPr>
                <w:sz w:val="16"/>
              </w:rPr>
              <w:t>Dla Kliniki Psychiatrii: warsztaty integracyjne wokół jasnego rozumienia i akceptacji regulaminów oddziałowych.</w:t>
            </w:r>
          </w:p>
        </w:tc>
        <w:tc>
          <w:tcPr>
            <w:tcW w:w="192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Normal"/>
              <w:spacing w:before="0" w:after="20"/>
              <w:rPr/>
            </w:pPr>
            <w:r>
              <w:rPr>
                <w:sz w:val="16"/>
              </w:rPr>
              <w:t xml:space="preserve">• </w:t>
            </w:r>
            <w:r>
              <w:rPr>
                <w:sz w:val="16"/>
              </w:rPr>
              <w:t>Arteterapia, biblioterapia.</w:t>
            </w:r>
          </w:p>
          <w:p>
            <w:pPr>
              <w:pStyle w:val="Normal"/>
              <w:spacing w:before="0" w:after="20"/>
              <w:rPr/>
            </w:pPr>
            <w:r>
              <w:rPr>
                <w:sz w:val="16"/>
              </w:rPr>
              <w:t xml:space="preserve">• </w:t>
            </w:r>
            <w:r>
              <w:rPr>
                <w:sz w:val="16"/>
              </w:rPr>
              <w:t>Warsztaty psychologiczne.</w:t>
            </w:r>
          </w:p>
          <w:p>
            <w:pPr>
              <w:pStyle w:val="Normal"/>
              <w:spacing w:before="0" w:after="20"/>
              <w:rPr/>
            </w:pPr>
            <w:r>
              <w:rPr>
                <w:sz w:val="16"/>
              </w:rPr>
              <w:t xml:space="preserve">• </w:t>
            </w:r>
            <w:r>
              <w:rPr>
                <w:sz w:val="16"/>
              </w:rPr>
              <w:t>Praca w małych grupach (wykorzystanie braku anonimowości).</w:t>
            </w:r>
          </w:p>
        </w:tc>
        <w:tc>
          <w:tcPr>
            <w:tcW w:w="19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Normal"/>
              <w:spacing w:before="0" w:after="20"/>
              <w:rPr/>
            </w:pPr>
            <w:r>
              <w:rPr>
                <w:sz w:val="16"/>
              </w:rPr>
              <w:t xml:space="preserve">• </w:t>
            </w:r>
            <w:r>
              <w:rPr>
                <w:sz w:val="16"/>
              </w:rPr>
              <w:t>Psycholog, pedagog szkolny.</w:t>
            </w:r>
          </w:p>
          <w:p>
            <w:pPr>
              <w:pStyle w:val="Normal"/>
              <w:spacing w:before="0" w:after="20"/>
              <w:rPr/>
            </w:pPr>
            <w:r>
              <w:rPr>
                <w:sz w:val="16"/>
              </w:rPr>
              <w:t xml:space="preserve">• </w:t>
            </w:r>
            <w:r>
              <w:rPr>
                <w:sz w:val="16"/>
              </w:rPr>
              <w:t>Wychowawcy oddziałowi.</w:t>
            </w:r>
          </w:p>
          <w:p>
            <w:pPr>
              <w:pStyle w:val="Normal"/>
              <w:spacing w:before="0" w:after="20"/>
              <w:rPr/>
            </w:pPr>
            <w:r>
              <w:rPr>
                <w:sz w:val="16"/>
              </w:rPr>
              <w:t xml:space="preserve">• </w:t>
            </w:r>
            <w:r>
              <w:rPr>
                <w:sz w:val="16"/>
              </w:rPr>
              <w:t>Nauczyciele zajęć pozalekcyjnych.</w:t>
            </w:r>
          </w:p>
        </w:tc>
        <w:tc>
          <w:tcPr>
            <w:tcW w:w="192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Normal"/>
              <w:spacing w:before="0" w:after="20"/>
              <w:rPr/>
            </w:pPr>
            <w:r>
              <w:rPr>
                <w:sz w:val="16"/>
              </w:rPr>
              <w:t xml:space="preserve">• </w:t>
            </w:r>
            <w:r>
              <w:rPr>
                <w:sz w:val="16"/>
              </w:rPr>
              <w:t>Spadek liczby incydentów agresji słownej.</w:t>
            </w:r>
          </w:p>
          <w:p>
            <w:pPr>
              <w:pStyle w:val="Normal"/>
              <w:spacing w:before="0" w:after="20"/>
              <w:rPr/>
            </w:pPr>
            <w:r>
              <w:rPr>
                <w:sz w:val="16"/>
              </w:rPr>
              <w:t xml:space="preserve">• </w:t>
            </w:r>
            <w:r>
              <w:rPr>
                <w:sz w:val="16"/>
              </w:rPr>
              <w:t>Wzrost u uczniów poczucia bezpieczeństwa i akceptacji zasad oddziału (szczególnie na psychiatrii).</w:t>
            </w:r>
          </w:p>
        </w:tc>
      </w:tr>
      <w:tr>
        <w:trPr>
          <w:cantSplit w:val="true"/>
        </w:trPr>
        <w:tc>
          <w:tcPr>
            <w:tcW w:w="19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Normal"/>
              <w:rPr/>
            </w:pPr>
            <w:r>
              <w:rPr>
                <w:b/>
                <w:sz w:val="17"/>
              </w:rPr>
              <w:t>2. Nowa Edukacja Zdrowotna i styl życia</w:t>
            </w:r>
            <w:r>
              <w:rPr/>
              <w:br/>
              <w:br/>
            </w:r>
            <w:r>
              <w:rPr>
                <w:i/>
                <w:sz w:val="16"/>
              </w:rPr>
              <w:t>Cel: Kształtowanie nawyków prozdrowotnych, przeciwdziałanie trudnościom w obszarze odżywiania.</w:t>
            </w:r>
          </w:p>
        </w:tc>
        <w:tc>
          <w:tcPr>
            <w:tcW w:w="19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Normal"/>
              <w:spacing w:before="0" w:after="20"/>
              <w:rPr/>
            </w:pPr>
            <w:r>
              <w:rPr>
                <w:sz w:val="16"/>
              </w:rPr>
              <w:t xml:space="preserve">• </w:t>
            </w:r>
            <w:r>
              <w:rPr>
                <w:sz w:val="16"/>
              </w:rPr>
              <w:t>Korelacja działań z nowym przedmiotem Edukacja Zdrowotna.</w:t>
            </w:r>
          </w:p>
          <w:p>
            <w:pPr>
              <w:pStyle w:val="Normal"/>
              <w:spacing w:before="0" w:after="20"/>
              <w:rPr/>
            </w:pPr>
            <w:r>
              <w:rPr>
                <w:sz w:val="16"/>
              </w:rPr>
              <w:t xml:space="preserve">• </w:t>
            </w:r>
            <w:r>
              <w:rPr>
                <w:sz w:val="16"/>
              </w:rPr>
              <w:t>Cykl projektów i konkursów: „Zdrowie to podstawa”, „Moda na zdrowie”.</w:t>
            </w:r>
          </w:p>
          <w:p>
            <w:pPr>
              <w:pStyle w:val="Normal"/>
              <w:spacing w:before="0" w:after="20"/>
              <w:rPr/>
            </w:pPr>
            <w:r>
              <w:rPr>
                <w:sz w:val="16"/>
              </w:rPr>
              <w:t xml:space="preserve">• </w:t>
            </w:r>
            <w:r>
              <w:rPr>
                <w:sz w:val="16"/>
              </w:rPr>
              <w:t>Warsztaty praktyczne z dietetykiem i personelem medycznym szpitala.</w:t>
            </w:r>
          </w:p>
          <w:p>
            <w:pPr>
              <w:pStyle w:val="Normal"/>
              <w:spacing w:before="0" w:after="20"/>
              <w:rPr>
                <w:sz w:val="16"/>
              </w:rPr>
            </w:pPr>
            <w:r>
              <w:rPr>
                <w:sz w:val="16"/>
              </w:rPr>
              <w:t xml:space="preserve">• </w:t>
            </w:r>
            <w:r>
              <w:rPr>
                <w:sz w:val="16"/>
              </w:rPr>
              <w:t>Włączenie zajęć tematycznych we współpracy z Wydziałem Fizjoterapii i Dietetyki CM.</w:t>
              <w:br/>
              <w:t xml:space="preserve">• </w:t>
            </w:r>
            <w:r>
              <w:rPr>
                <w:sz w:val="16"/>
                <w:szCs w:val="16"/>
              </w:rPr>
              <w:t>Realizacja dostosowanych do wieku uczniów działań informacyjnych i profilaktycznych dotyczących ryzyka używania substancji psychoaktywnych, środków zastępczych i nowych substancji psychoaktywnych.</w:t>
            </w:r>
          </w:p>
        </w:tc>
        <w:tc>
          <w:tcPr>
            <w:tcW w:w="192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Normal"/>
              <w:spacing w:before="0" w:after="20"/>
              <w:rPr/>
            </w:pPr>
            <w:r>
              <w:rPr>
                <w:sz w:val="16"/>
              </w:rPr>
              <w:t xml:space="preserve">• </w:t>
            </w:r>
            <w:r>
              <w:rPr>
                <w:sz w:val="16"/>
              </w:rPr>
              <w:t>Warsztaty ze specjalistami.</w:t>
            </w:r>
          </w:p>
          <w:p>
            <w:pPr>
              <w:pStyle w:val="Normal"/>
              <w:spacing w:before="0" w:after="20"/>
              <w:rPr/>
            </w:pPr>
            <w:r>
              <w:rPr>
                <w:sz w:val="16"/>
              </w:rPr>
              <w:t xml:space="preserve">• </w:t>
            </w:r>
            <w:r>
              <w:rPr>
                <w:sz w:val="16"/>
              </w:rPr>
              <w:t>Międzyoddziałowe projekty edukacyjne.</w:t>
            </w:r>
          </w:p>
          <w:p>
            <w:pPr>
              <w:pStyle w:val="Normal"/>
              <w:spacing w:before="0" w:after="20"/>
              <w:rPr/>
            </w:pPr>
            <w:r>
              <w:rPr>
                <w:sz w:val="16"/>
              </w:rPr>
              <w:t xml:space="preserve">• </w:t>
            </w:r>
            <w:r>
              <w:rPr>
                <w:sz w:val="16"/>
              </w:rPr>
              <w:t>Indywidualne rozmowy wspierające.</w:t>
            </w:r>
          </w:p>
        </w:tc>
        <w:tc>
          <w:tcPr>
            <w:tcW w:w="19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Normal"/>
              <w:spacing w:before="0" w:after="20"/>
              <w:rPr/>
            </w:pPr>
            <w:r>
              <w:rPr>
                <w:sz w:val="16"/>
              </w:rPr>
              <w:t xml:space="preserve">• </w:t>
            </w:r>
            <w:r>
              <w:rPr>
                <w:sz w:val="16"/>
              </w:rPr>
              <w:t>Nauczyciele biologii / edukacji zdrowotnej, wychowawcy.</w:t>
            </w:r>
          </w:p>
          <w:p>
            <w:pPr>
              <w:pStyle w:val="Normal"/>
              <w:spacing w:before="0" w:after="20"/>
              <w:rPr/>
            </w:pPr>
            <w:r>
              <w:rPr>
                <w:sz w:val="16"/>
              </w:rPr>
              <w:t xml:space="preserve">• </w:t>
            </w:r>
            <w:r>
              <w:rPr>
                <w:sz w:val="16"/>
              </w:rPr>
              <w:t>Dietetyk, fizjoterapeuta (specjalista zewnętrzny).</w:t>
            </w:r>
          </w:p>
          <w:p>
            <w:pPr>
              <w:pStyle w:val="Normal"/>
              <w:spacing w:before="0" w:after="20"/>
              <w:rPr/>
            </w:pPr>
            <w:r>
              <w:rPr>
                <w:sz w:val="16"/>
              </w:rPr>
              <w:t xml:space="preserve">• </w:t>
            </w:r>
            <w:r>
              <w:rPr>
                <w:sz w:val="16"/>
              </w:rPr>
              <w:t>Personel medyczny.</w:t>
            </w:r>
          </w:p>
        </w:tc>
        <w:tc>
          <w:tcPr>
            <w:tcW w:w="192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Normal"/>
              <w:spacing w:before="0" w:after="20"/>
              <w:rPr/>
            </w:pPr>
            <w:r>
              <w:rPr>
                <w:sz w:val="16"/>
              </w:rPr>
              <w:t xml:space="preserve">• </w:t>
            </w:r>
            <w:r>
              <w:rPr>
                <w:sz w:val="16"/>
              </w:rPr>
              <w:t xml:space="preserve">Przyrost wiedzy uczniów </w:t>
              <w:br/>
              <w:t>o zdrowym żywieniu.</w:t>
            </w:r>
          </w:p>
          <w:p>
            <w:pPr>
              <w:pStyle w:val="Normal"/>
              <w:spacing w:before="0" w:after="20"/>
              <w:rPr/>
            </w:pPr>
            <w:r>
              <w:rPr>
                <w:sz w:val="16"/>
              </w:rPr>
              <w:t xml:space="preserve">• </w:t>
            </w:r>
            <w:r>
              <w:rPr>
                <w:sz w:val="16"/>
              </w:rPr>
              <w:t>Utrwalenie nawyków higienicznych.</w:t>
            </w:r>
          </w:p>
        </w:tc>
      </w:tr>
      <w:tr>
        <w:trPr>
          <w:cantSplit w:val="true"/>
        </w:trPr>
        <w:tc>
          <w:tcPr>
            <w:tcW w:w="19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Normal"/>
              <w:rPr/>
            </w:pPr>
            <w:r>
              <w:rPr>
                <w:b/>
                <w:sz w:val="17"/>
              </w:rPr>
              <w:t>3. Dobrostan psychiczny a natura (Eko-profilaktyka)</w:t>
            </w:r>
            <w:r>
              <w:rPr/>
              <w:br/>
              <w:br/>
            </w:r>
            <w:r>
              <w:rPr>
                <w:i/>
                <w:sz w:val="16"/>
              </w:rPr>
              <w:t>Cel: Wykorzystanie kontaktu z przyrodą do budowania odporności psychicznej.</w:t>
            </w:r>
          </w:p>
        </w:tc>
        <w:tc>
          <w:tcPr>
            <w:tcW w:w="19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Normal"/>
              <w:spacing w:before="0" w:after="20"/>
              <w:rPr/>
            </w:pPr>
            <w:r>
              <w:rPr>
                <w:sz w:val="16"/>
              </w:rPr>
              <w:t xml:space="preserve">• </w:t>
            </w:r>
            <w:r>
              <w:rPr>
                <w:sz w:val="16"/>
              </w:rPr>
              <w:t>Kontynuacja i rozwój programu wyjść terenowych: „Nieznane i nieodkryte. Tajemnice świata, fauny i flory”.</w:t>
            </w:r>
          </w:p>
          <w:p>
            <w:pPr>
              <w:pStyle w:val="Normal"/>
              <w:spacing w:before="0" w:after="20"/>
              <w:rPr/>
            </w:pPr>
            <w:r>
              <w:rPr>
                <w:sz w:val="16"/>
              </w:rPr>
              <w:t xml:space="preserve">• </w:t>
            </w:r>
            <w:r>
              <w:rPr>
                <w:sz w:val="16"/>
              </w:rPr>
              <w:t>Warsztaty kreatywne w naturze, wyjścia edukacyjne i spacery (np. Ogród Botaniczny, Myślęcinek, Nadleśnictwo).</w:t>
            </w:r>
          </w:p>
          <w:p>
            <w:pPr>
              <w:pStyle w:val="Normal"/>
              <w:spacing w:before="0" w:after="20"/>
              <w:rPr/>
            </w:pPr>
            <w:r>
              <w:rPr>
                <w:sz w:val="16"/>
              </w:rPr>
              <w:t xml:space="preserve">• </w:t>
            </w:r>
            <w:r>
              <w:rPr>
                <w:sz w:val="16"/>
              </w:rPr>
              <w:t>Obchody Dnia Ziemi, Wody i Drzewa w formie interaktywnej.</w:t>
            </w:r>
          </w:p>
        </w:tc>
        <w:tc>
          <w:tcPr>
            <w:tcW w:w="192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Normal"/>
              <w:spacing w:before="0" w:after="20"/>
              <w:rPr/>
            </w:pPr>
            <w:r>
              <w:rPr>
                <w:sz w:val="16"/>
              </w:rPr>
              <w:t xml:space="preserve">• </w:t>
            </w:r>
            <w:r>
              <w:rPr>
                <w:sz w:val="16"/>
              </w:rPr>
              <w:t>Zajęcia terenowe (kluczowa metoda aktywizująca dla Dziennej Kliniki Psychiatrii).</w:t>
            </w:r>
          </w:p>
          <w:p>
            <w:pPr>
              <w:pStyle w:val="Normal"/>
              <w:spacing w:before="0" w:after="20"/>
              <w:rPr/>
            </w:pPr>
            <w:r>
              <w:rPr>
                <w:sz w:val="16"/>
              </w:rPr>
              <w:t xml:space="preserve">• </w:t>
            </w:r>
            <w:r>
              <w:rPr>
                <w:sz w:val="16"/>
              </w:rPr>
              <w:t>Treningi uważności (mindfulness) na świeżym powietrzu.</w:t>
            </w:r>
          </w:p>
        </w:tc>
        <w:tc>
          <w:tcPr>
            <w:tcW w:w="19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Normal"/>
              <w:spacing w:before="0" w:after="20"/>
              <w:rPr/>
            </w:pPr>
            <w:r>
              <w:rPr>
                <w:sz w:val="16"/>
              </w:rPr>
              <w:t xml:space="preserve">• </w:t>
            </w:r>
            <w:r>
              <w:rPr>
                <w:sz w:val="16"/>
              </w:rPr>
              <w:t>Wychowawcy Dziennej Kliniki Psychiatrii.</w:t>
            </w:r>
          </w:p>
          <w:p>
            <w:pPr>
              <w:pStyle w:val="Normal"/>
              <w:spacing w:before="0" w:after="20"/>
              <w:rPr/>
            </w:pPr>
            <w:r>
              <w:rPr>
                <w:sz w:val="16"/>
              </w:rPr>
              <w:t xml:space="preserve">• </w:t>
            </w:r>
            <w:r>
              <w:rPr>
                <w:sz w:val="16"/>
              </w:rPr>
              <w:t>Edukatorzy zewnętrzni (np. MDK).</w:t>
            </w:r>
          </w:p>
          <w:p>
            <w:pPr>
              <w:pStyle w:val="Normal"/>
              <w:spacing w:before="0" w:after="20"/>
              <w:rPr/>
            </w:pPr>
            <w:r>
              <w:rPr>
                <w:sz w:val="16"/>
              </w:rPr>
              <w:t xml:space="preserve">• </w:t>
            </w:r>
            <w:r>
              <w:rPr>
                <w:sz w:val="16"/>
              </w:rPr>
              <w:t>Nauczyciele geografii i przyrody.</w:t>
            </w:r>
          </w:p>
        </w:tc>
        <w:tc>
          <w:tcPr>
            <w:tcW w:w="192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Normal"/>
              <w:spacing w:before="0" w:after="20"/>
              <w:rPr/>
            </w:pPr>
            <w:r>
              <w:rPr>
                <w:sz w:val="16"/>
              </w:rPr>
              <w:t xml:space="preserve">• </w:t>
            </w:r>
            <w:r>
              <w:rPr>
                <w:sz w:val="16"/>
              </w:rPr>
              <w:t>Wzrost stabilności emocjonalnej pacjentów.</w:t>
            </w:r>
          </w:p>
          <w:p>
            <w:pPr>
              <w:pStyle w:val="Normal"/>
              <w:spacing w:before="0" w:after="20"/>
              <w:rPr/>
            </w:pPr>
            <w:r>
              <w:rPr>
                <w:sz w:val="16"/>
              </w:rPr>
              <w:t xml:space="preserve">• </w:t>
            </w:r>
            <w:r>
              <w:rPr>
                <w:sz w:val="16"/>
              </w:rPr>
              <w:t>Rozwój samodzielności i uważności poprzez bezpośredni kontakt z przyrodą.</w:t>
            </w:r>
          </w:p>
        </w:tc>
      </w:tr>
      <w:tr>
        <w:trPr>
          <w:cantSplit w:val="true"/>
        </w:trPr>
        <w:tc>
          <w:tcPr>
            <w:tcW w:w="19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Normal"/>
              <w:rPr/>
            </w:pPr>
            <w:r>
              <w:rPr>
                <w:b/>
                <w:sz w:val="17"/>
              </w:rPr>
              <w:t>4. Moduł Medialny i Higiena Cyfrowa</w:t>
            </w:r>
            <w:r>
              <w:rPr/>
              <w:br/>
              <w:br/>
            </w:r>
            <w:r>
              <w:rPr>
                <w:i/>
                <w:sz w:val="16"/>
              </w:rPr>
              <w:t>Cel: Przeciwdziałanie nadużywaniu smartfonów i FOMO, rozwijanie samoregulacji cyfrowej, bezpieczeństwa w sieci i krytycznego myślenia.</w:t>
            </w:r>
          </w:p>
        </w:tc>
        <w:tc>
          <w:tcPr>
            <w:tcW w:w="19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Normal"/>
              <w:spacing w:before="0" w:after="20"/>
              <w:rPr/>
            </w:pPr>
            <w:r>
              <w:rPr>
                <w:sz w:val="16"/>
              </w:rPr>
              <w:t xml:space="preserve">• </w:t>
            </w:r>
            <w:r>
              <w:rPr>
                <w:sz w:val="16"/>
              </w:rPr>
              <w:t>Warsztaty z zakresu higieny cyfrowej i bezpiecznego offline (kontra do izolacji szpitalnej).</w:t>
            </w:r>
          </w:p>
          <w:p>
            <w:pPr>
              <w:pStyle w:val="Normal"/>
              <w:spacing w:before="0" w:after="20"/>
              <w:rPr/>
            </w:pPr>
            <w:r>
              <w:rPr>
                <w:sz w:val="16"/>
              </w:rPr>
              <w:t xml:space="preserve">• </w:t>
            </w:r>
            <w:r>
              <w:rPr>
                <w:sz w:val="16"/>
              </w:rPr>
              <w:t>Innowacja pedagogiczna: „Cztery pory roku w rytmie sztucznej inteligencji”.</w:t>
            </w:r>
          </w:p>
          <w:p>
            <w:pPr>
              <w:pStyle w:val="Normal"/>
              <w:spacing w:before="0" w:after="20"/>
              <w:rPr/>
            </w:pPr>
            <w:r>
              <w:rPr>
                <w:sz w:val="16"/>
              </w:rPr>
              <w:t xml:space="preserve">• </w:t>
            </w:r>
            <w:r>
              <w:rPr>
                <w:sz w:val="16"/>
              </w:rPr>
              <w:t>Wprowadzenie zasad krytycznego myślenia wobec algorytmów internetowych i sztucznej inteligencji (AI).</w:t>
            </w:r>
          </w:p>
          <w:p>
            <w:pPr>
              <w:pStyle w:val="Normal"/>
              <w:spacing w:before="0" w:after="20"/>
              <w:rPr/>
            </w:pPr>
            <w:r>
              <w:rPr>
                <w:sz w:val="16"/>
              </w:rPr>
              <w:t xml:space="preserve">• </w:t>
            </w:r>
            <w:r>
              <w:rPr>
                <w:sz w:val="16"/>
              </w:rPr>
              <w:t>Kampanie informacyjne dla rodziców na oddziałach dotyczące e-uzależnień.</w:t>
            </w:r>
          </w:p>
          <w:p>
            <w:pPr>
              <w:pStyle w:val="Normal"/>
              <w:spacing w:before="0" w:after="20"/>
              <w:rPr/>
            </w:pPr>
            <w:r>
              <w:rPr>
                <w:sz w:val="16"/>
              </w:rPr>
              <w:t xml:space="preserve">• </w:t>
            </w:r>
            <w:r>
              <w:rPr>
                <w:sz w:val="16"/>
              </w:rPr>
              <w:t>Działania informacyjne i konsultacyjne dla nauczycieli dotyczące zagrożeń cyfrowych, kryzysów psychicznych, przemocy rówieśniczej oraz zasad reagowania.</w:t>
            </w:r>
          </w:p>
        </w:tc>
        <w:tc>
          <w:tcPr>
            <w:tcW w:w="192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Normal"/>
              <w:spacing w:before="0" w:after="20"/>
              <w:rPr/>
            </w:pPr>
            <w:r>
              <w:rPr>
                <w:sz w:val="16"/>
              </w:rPr>
              <w:t xml:space="preserve">• </w:t>
            </w:r>
            <w:r>
              <w:rPr>
                <w:sz w:val="16"/>
              </w:rPr>
              <w:t>Warsztaty z udziałem specjalistów ds. cyberbezpieczeństwa (np. Policja).</w:t>
            </w:r>
          </w:p>
          <w:p>
            <w:pPr>
              <w:pStyle w:val="Normal"/>
              <w:spacing w:before="0" w:after="20"/>
              <w:rPr/>
            </w:pPr>
            <w:r>
              <w:rPr>
                <w:sz w:val="16"/>
              </w:rPr>
              <w:t xml:space="preserve">• </w:t>
            </w:r>
            <w:r>
              <w:rPr>
                <w:sz w:val="16"/>
              </w:rPr>
              <w:t>Tworzenie przez uczniów alternatywnych cyfrowych projektów twórczych.</w:t>
            </w:r>
          </w:p>
        </w:tc>
        <w:tc>
          <w:tcPr>
            <w:tcW w:w="19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Normal"/>
              <w:spacing w:before="0" w:after="20"/>
              <w:rPr/>
            </w:pPr>
            <w:r>
              <w:rPr>
                <w:sz w:val="16"/>
              </w:rPr>
              <w:t xml:space="preserve">• </w:t>
            </w:r>
            <w:r>
              <w:rPr>
                <w:sz w:val="16"/>
              </w:rPr>
              <w:t>Nauczyciele informatyki.</w:t>
            </w:r>
          </w:p>
          <w:p>
            <w:pPr>
              <w:pStyle w:val="Normal"/>
              <w:spacing w:before="0" w:after="20"/>
              <w:rPr/>
            </w:pPr>
            <w:r>
              <w:rPr>
                <w:sz w:val="16"/>
              </w:rPr>
              <w:t xml:space="preserve">• </w:t>
            </w:r>
            <w:r>
              <w:rPr>
                <w:sz w:val="16"/>
              </w:rPr>
              <w:t>Zaproszeni specjaliści (Policja, Straż Miejska).</w:t>
            </w:r>
          </w:p>
          <w:p>
            <w:pPr>
              <w:pStyle w:val="Normal"/>
              <w:spacing w:before="0" w:after="20"/>
              <w:rPr/>
            </w:pPr>
            <w:r>
              <w:rPr>
                <w:sz w:val="16"/>
              </w:rPr>
              <w:t xml:space="preserve">• </w:t>
            </w:r>
            <w:r>
              <w:rPr>
                <w:sz w:val="16"/>
              </w:rPr>
              <w:t>Wychowawcy klas.</w:t>
            </w:r>
          </w:p>
        </w:tc>
        <w:tc>
          <w:tcPr>
            <w:tcW w:w="192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Normal"/>
              <w:spacing w:before="0" w:after="20"/>
              <w:rPr/>
            </w:pPr>
            <w:r>
              <w:rPr>
                <w:sz w:val="16"/>
              </w:rPr>
              <w:t xml:space="preserve">• </w:t>
            </w:r>
            <w:r>
              <w:rPr>
                <w:sz w:val="16"/>
              </w:rPr>
              <w:t>Zmniejszenie czasu bezcelowego korzystania ze smartfonów na oddziałach.</w:t>
            </w:r>
          </w:p>
          <w:p>
            <w:pPr>
              <w:pStyle w:val="Normal"/>
              <w:spacing w:before="0" w:after="20"/>
              <w:rPr/>
            </w:pPr>
            <w:r>
              <w:rPr>
                <w:sz w:val="16"/>
              </w:rPr>
              <w:t xml:space="preserve">• </w:t>
            </w:r>
            <w:r>
              <w:rPr>
                <w:sz w:val="16"/>
              </w:rPr>
              <w:t>Wzrost świadomości zagrożeń sieciowych u większości badanych uczniów.</w:t>
            </w:r>
          </w:p>
        </w:tc>
      </w:tr>
      <w:tr>
        <w:trPr>
          <w:cantSplit w:val="true"/>
        </w:trPr>
        <w:tc>
          <w:tcPr>
            <w:tcW w:w="19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Normal"/>
              <w:rPr/>
            </w:pPr>
            <w:r>
              <w:rPr>
                <w:b/>
                <w:sz w:val="17"/>
              </w:rPr>
              <w:t>5. Budowanie sprawczości i poczucia własnej wartości</w:t>
            </w:r>
            <w:r>
              <w:rPr/>
              <w:br/>
              <w:br/>
            </w:r>
            <w:r>
              <w:rPr>
                <w:i/>
                <w:sz w:val="16"/>
              </w:rPr>
              <w:t>Cel: Przełamywanie bierności, budowanie motywacji mimo choroby.</w:t>
            </w:r>
          </w:p>
        </w:tc>
        <w:tc>
          <w:tcPr>
            <w:tcW w:w="19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Normal"/>
              <w:spacing w:before="0" w:after="20"/>
              <w:rPr/>
            </w:pPr>
            <w:r>
              <w:rPr>
                <w:sz w:val="16"/>
              </w:rPr>
              <w:t xml:space="preserve">• </w:t>
            </w:r>
            <w:r>
              <w:rPr>
                <w:sz w:val="16"/>
              </w:rPr>
              <w:t>Realizacja projektów: „Knock-knock – warsztaty”, „Laboratorium życia – eksperymentujemy, odkrywamy jak działa człowiek”, projekt „Uczę się uczyć się”.</w:t>
            </w:r>
          </w:p>
          <w:p>
            <w:pPr>
              <w:pStyle w:val="Normal"/>
              <w:spacing w:before="0" w:after="20"/>
              <w:rPr/>
            </w:pPr>
            <w:r>
              <w:rPr>
                <w:sz w:val="16"/>
              </w:rPr>
              <w:t xml:space="preserve">• </w:t>
            </w:r>
            <w:r>
              <w:rPr>
                <w:sz w:val="16"/>
              </w:rPr>
              <w:t>Wojewódzkie i wewnątrzszkolne konkursy plastyczne, literackie i naukowe.</w:t>
            </w:r>
          </w:p>
          <w:p>
            <w:pPr>
              <w:pStyle w:val="Normal"/>
              <w:spacing w:before="0" w:after="20"/>
              <w:rPr/>
            </w:pPr>
            <w:r>
              <w:rPr>
                <w:sz w:val="16"/>
              </w:rPr>
              <w:t xml:space="preserve">• </w:t>
            </w:r>
            <w:r>
              <w:rPr>
                <w:sz w:val="16"/>
              </w:rPr>
              <w:t>Promowanie każdego, nawet najmniejszego sukcesu ucznia-pacjenta.</w:t>
            </w:r>
          </w:p>
        </w:tc>
        <w:tc>
          <w:tcPr>
            <w:tcW w:w="192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Normal"/>
              <w:spacing w:before="0" w:after="20"/>
              <w:rPr/>
            </w:pPr>
            <w:r>
              <w:rPr>
                <w:sz w:val="16"/>
              </w:rPr>
              <w:t xml:space="preserve">• </w:t>
            </w:r>
            <w:r>
              <w:rPr>
                <w:sz w:val="16"/>
              </w:rPr>
              <w:t>Metoda projektów badawczych i artystycznych.</w:t>
            </w:r>
          </w:p>
          <w:p>
            <w:pPr>
              <w:pStyle w:val="Normal"/>
              <w:spacing w:before="0" w:after="20"/>
              <w:rPr/>
            </w:pPr>
            <w:r>
              <w:rPr>
                <w:sz w:val="16"/>
              </w:rPr>
              <w:t xml:space="preserve">• </w:t>
            </w:r>
            <w:r>
              <w:rPr>
                <w:sz w:val="16"/>
              </w:rPr>
              <w:t>Prezentacje talentów na oddziałach.</w:t>
            </w:r>
          </w:p>
          <w:p>
            <w:pPr>
              <w:pStyle w:val="Normal"/>
              <w:spacing w:before="0" w:after="20"/>
              <w:rPr/>
            </w:pPr>
            <w:r>
              <w:rPr>
                <w:sz w:val="16"/>
              </w:rPr>
              <w:t xml:space="preserve">• </w:t>
            </w:r>
            <w:r>
              <w:rPr>
                <w:sz w:val="16"/>
              </w:rPr>
              <w:t>Stosowanie wzmocnień pozytywnych (pochwały, certyfikaty).</w:t>
            </w:r>
          </w:p>
        </w:tc>
        <w:tc>
          <w:tcPr>
            <w:tcW w:w="19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Normal"/>
              <w:spacing w:before="0" w:after="20"/>
              <w:rPr/>
            </w:pPr>
            <w:r>
              <w:rPr>
                <w:sz w:val="16"/>
              </w:rPr>
              <w:t xml:space="preserve">• </w:t>
            </w:r>
            <w:r>
              <w:rPr>
                <w:sz w:val="16"/>
              </w:rPr>
              <w:t>Wszyscy nauczyciele zespołu szkół.</w:t>
            </w:r>
          </w:p>
          <w:p>
            <w:pPr>
              <w:pStyle w:val="Normal"/>
              <w:spacing w:before="0" w:after="20"/>
              <w:rPr/>
            </w:pPr>
            <w:r>
              <w:rPr>
                <w:sz w:val="16"/>
              </w:rPr>
              <w:t xml:space="preserve">• </w:t>
            </w:r>
            <w:r>
              <w:rPr>
                <w:sz w:val="16"/>
              </w:rPr>
              <w:t>Wychowawcy zajęć pozalekcyjnych.</w:t>
            </w:r>
          </w:p>
        </w:tc>
        <w:tc>
          <w:tcPr>
            <w:tcW w:w="192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Normal"/>
              <w:spacing w:before="0" w:after="20"/>
              <w:rPr/>
            </w:pPr>
            <w:r>
              <w:rPr>
                <w:sz w:val="16"/>
              </w:rPr>
              <w:t xml:space="preserve">• </w:t>
            </w:r>
            <w:r>
              <w:rPr>
                <w:sz w:val="16"/>
              </w:rPr>
              <w:t>Wzrost samooceny i motywacji do nauki u pacjentów długoterminowych.</w:t>
            </w:r>
          </w:p>
          <w:p>
            <w:pPr>
              <w:pStyle w:val="Normal"/>
              <w:spacing w:before="0" w:after="20"/>
              <w:rPr/>
            </w:pPr>
            <w:r>
              <w:rPr>
                <w:sz w:val="16"/>
              </w:rPr>
              <w:t xml:space="preserve">• </w:t>
            </w:r>
            <w:r>
              <w:rPr>
                <w:sz w:val="16"/>
              </w:rPr>
              <w:t>Przełamanie bierności szpitalnej.</w:t>
            </w:r>
          </w:p>
        </w:tc>
      </w:tr>
      <w:tr>
        <w:trPr>
          <w:cantSplit w:val="true"/>
        </w:trPr>
        <w:tc>
          <w:tcPr>
            <w:tcW w:w="19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Normal"/>
              <w:rPr/>
            </w:pPr>
            <w:r>
              <w:rPr>
                <w:b/>
                <w:sz w:val="17"/>
              </w:rPr>
              <w:t>6. Bezpieczeństwo i edukacja obywatelska</w:t>
            </w:r>
            <w:r>
              <w:rPr/>
              <w:br/>
              <w:br/>
            </w:r>
            <w:r>
              <w:rPr>
                <w:i/>
                <w:sz w:val="16"/>
              </w:rPr>
              <w:t>Cel: Kształtowanie postaw patriotycznych oraz umiejętności ratowania życia.</w:t>
            </w:r>
          </w:p>
        </w:tc>
        <w:tc>
          <w:tcPr>
            <w:tcW w:w="19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Normal"/>
              <w:spacing w:before="0" w:after="20"/>
              <w:rPr/>
            </w:pPr>
            <w:r>
              <w:rPr>
                <w:sz w:val="16"/>
              </w:rPr>
              <w:t xml:space="preserve">• </w:t>
            </w:r>
            <w:r>
              <w:rPr>
                <w:sz w:val="16"/>
              </w:rPr>
              <w:t>Organizacja np. „Tygodnia dla Bezpieczeństwa”.</w:t>
            </w:r>
          </w:p>
          <w:p>
            <w:pPr>
              <w:pStyle w:val="Normal"/>
              <w:spacing w:before="0" w:after="20"/>
              <w:rPr/>
            </w:pPr>
            <w:r>
              <w:rPr>
                <w:sz w:val="16"/>
              </w:rPr>
              <w:t xml:space="preserve">• </w:t>
            </w:r>
            <w:r>
              <w:rPr>
                <w:sz w:val="16"/>
              </w:rPr>
              <w:t>Imprezy, np. 11 listopada – „Szkoła do hymnu”, święta majowe – upamiętnianie świąt narodowych w warunkach szpitalnych.</w:t>
            </w:r>
          </w:p>
          <w:p>
            <w:pPr>
              <w:pStyle w:val="Normal"/>
              <w:spacing w:before="0" w:after="20"/>
              <w:rPr/>
            </w:pPr>
            <w:r>
              <w:rPr>
                <w:sz w:val="16"/>
              </w:rPr>
              <w:t xml:space="preserve">• </w:t>
            </w:r>
            <w:r>
              <w:rPr>
                <w:sz w:val="16"/>
              </w:rPr>
              <w:t>Promowanie postaw prospołecznych poprzez postać Patronki Ireny Sendlerowej.</w:t>
            </w:r>
          </w:p>
        </w:tc>
        <w:tc>
          <w:tcPr>
            <w:tcW w:w="192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Normal"/>
              <w:spacing w:before="0" w:after="20"/>
              <w:rPr/>
            </w:pPr>
            <w:r>
              <w:rPr>
                <w:sz w:val="16"/>
              </w:rPr>
              <w:t xml:space="preserve">• </w:t>
            </w:r>
            <w:r>
              <w:rPr>
                <w:sz w:val="16"/>
              </w:rPr>
              <w:t>Praktyczne ćwiczenia z fantomami.</w:t>
            </w:r>
          </w:p>
          <w:p>
            <w:pPr>
              <w:pStyle w:val="Normal"/>
              <w:spacing w:before="0" w:after="20"/>
              <w:rPr/>
            </w:pPr>
            <w:r>
              <w:rPr>
                <w:sz w:val="16"/>
              </w:rPr>
              <w:t xml:space="preserve">• </w:t>
            </w:r>
            <w:r>
              <w:rPr>
                <w:sz w:val="16"/>
              </w:rPr>
              <w:t>Uroczystości i apele oddziałowe (dostosowane do stanu zdrowia).</w:t>
            </w:r>
          </w:p>
          <w:p>
            <w:pPr>
              <w:pStyle w:val="Normal"/>
              <w:spacing w:before="0" w:after="20"/>
              <w:rPr/>
            </w:pPr>
            <w:r>
              <w:rPr>
                <w:sz w:val="16"/>
              </w:rPr>
              <w:t xml:space="preserve">• </w:t>
            </w:r>
            <w:r>
              <w:rPr>
                <w:sz w:val="16"/>
              </w:rPr>
              <w:t>Gry i quizy historyczne.</w:t>
            </w:r>
          </w:p>
        </w:tc>
        <w:tc>
          <w:tcPr>
            <w:tcW w:w="19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Normal"/>
              <w:spacing w:before="0" w:after="20"/>
              <w:rPr/>
            </w:pPr>
            <w:r>
              <w:rPr>
                <w:sz w:val="16"/>
              </w:rPr>
              <w:t xml:space="preserve">• </w:t>
            </w:r>
            <w:r>
              <w:rPr>
                <w:sz w:val="16"/>
              </w:rPr>
              <w:t>Nauczyciele EDB / historii.</w:t>
            </w:r>
          </w:p>
          <w:p>
            <w:pPr>
              <w:pStyle w:val="Normal"/>
              <w:spacing w:before="0" w:after="20"/>
              <w:rPr/>
            </w:pPr>
            <w:r>
              <w:rPr>
                <w:sz w:val="16"/>
              </w:rPr>
              <w:t xml:space="preserve">• </w:t>
            </w:r>
            <w:r>
              <w:rPr>
                <w:sz w:val="16"/>
              </w:rPr>
              <w:t>Zaproszone służby mundurowe (Straż Pożarna).</w:t>
            </w:r>
          </w:p>
        </w:tc>
        <w:tc>
          <w:tcPr>
            <w:tcW w:w="192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Normal"/>
              <w:spacing w:before="0" w:after="20"/>
              <w:rPr/>
            </w:pPr>
            <w:r>
              <w:rPr>
                <w:sz w:val="16"/>
              </w:rPr>
              <w:t xml:space="preserve">• </w:t>
            </w:r>
            <w:r>
              <w:rPr>
                <w:sz w:val="16"/>
              </w:rPr>
              <w:t>Większość uczniów objętych działaniami zna podstawowe zasady udzielania pierwszej pomocy.</w:t>
            </w:r>
          </w:p>
          <w:p>
            <w:pPr>
              <w:pStyle w:val="Normal"/>
              <w:spacing w:before="0" w:after="20"/>
              <w:rPr/>
            </w:pPr>
            <w:r>
              <w:rPr>
                <w:sz w:val="16"/>
              </w:rPr>
              <w:t xml:space="preserve">• </w:t>
            </w:r>
            <w:r>
              <w:rPr>
                <w:sz w:val="16"/>
              </w:rPr>
              <w:t>Wzmacnianie tożsamości narodowej.</w:t>
            </w:r>
          </w:p>
        </w:tc>
      </w:tr>
      <w:tr>
        <w:trPr>
          <w:cantSplit w:val="true"/>
        </w:trPr>
        <w:tc>
          <w:tcPr>
            <w:tcW w:w="19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Normal"/>
              <w:rPr/>
            </w:pPr>
            <w:r>
              <w:rPr>
                <w:b/>
                <w:sz w:val="17"/>
              </w:rPr>
              <w:t>7. Inkluzywność i wsparcie systemowe</w:t>
            </w:r>
            <w:r>
              <w:rPr/>
              <w:br/>
              <w:br/>
            </w:r>
            <w:r>
              <w:rPr>
                <w:i/>
                <w:sz w:val="16"/>
              </w:rPr>
              <w:t>Cel: Integracja uczniów z doświadczeniem migracyjnym oraz współpraca z otoczeniem.</w:t>
            </w:r>
          </w:p>
        </w:tc>
        <w:tc>
          <w:tcPr>
            <w:tcW w:w="19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Normal"/>
              <w:spacing w:before="0" w:after="20"/>
              <w:rPr/>
            </w:pPr>
            <w:r>
              <w:rPr>
                <w:sz w:val="16"/>
              </w:rPr>
              <w:t xml:space="preserve">• </w:t>
            </w:r>
            <w:r>
              <w:rPr>
                <w:sz w:val="16"/>
              </w:rPr>
              <w:t>Budowanie inkluzywnego środowiska dla uczniów przybyłych z zagranicy na ogólnych zasadach.</w:t>
            </w:r>
          </w:p>
          <w:p>
            <w:pPr>
              <w:pStyle w:val="Normal"/>
              <w:spacing w:before="0" w:after="20"/>
              <w:rPr/>
            </w:pPr>
            <w:r>
              <w:rPr>
                <w:sz w:val="16"/>
              </w:rPr>
              <w:t xml:space="preserve">• </w:t>
            </w:r>
            <w:r>
              <w:rPr>
                <w:sz w:val="16"/>
              </w:rPr>
              <w:t>Koordynacja wsparcia: szybka ścieżka interwencyjna na linii Nauczyciel – Personel Medyczny.</w:t>
            </w:r>
          </w:p>
        </w:tc>
        <w:tc>
          <w:tcPr>
            <w:tcW w:w="192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Normal"/>
              <w:spacing w:before="0" w:after="20"/>
              <w:rPr/>
            </w:pPr>
            <w:r>
              <w:rPr>
                <w:sz w:val="16"/>
              </w:rPr>
              <w:t xml:space="preserve">• </w:t>
            </w:r>
            <w:r>
              <w:rPr>
                <w:sz w:val="16"/>
              </w:rPr>
              <w:t>Indywidualizacja procesu nauczania i wychowania.</w:t>
            </w:r>
          </w:p>
          <w:p>
            <w:pPr>
              <w:pStyle w:val="Normal"/>
              <w:spacing w:before="0" w:after="20"/>
              <w:rPr/>
            </w:pPr>
            <w:r>
              <w:rPr>
                <w:sz w:val="16"/>
              </w:rPr>
              <w:t xml:space="preserve">• </w:t>
            </w:r>
            <w:r>
              <w:rPr>
                <w:sz w:val="16"/>
              </w:rPr>
              <w:t>Konsultacje międzyoddziałowe nauczycieli.</w:t>
            </w:r>
          </w:p>
          <w:p>
            <w:pPr>
              <w:pStyle w:val="Normal"/>
              <w:spacing w:before="0" w:after="20"/>
              <w:rPr/>
            </w:pPr>
            <w:r>
              <w:rPr>
                <w:sz w:val="16"/>
              </w:rPr>
              <w:t xml:space="preserve">• </w:t>
            </w:r>
            <w:r>
              <w:rPr>
                <w:sz w:val="16"/>
              </w:rPr>
              <w:t>Pedagogizacja rodziców w miarę możliwości.</w:t>
            </w:r>
          </w:p>
        </w:tc>
        <w:tc>
          <w:tcPr>
            <w:tcW w:w="19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Normal"/>
              <w:spacing w:before="0" w:after="20"/>
              <w:rPr/>
            </w:pPr>
            <w:r>
              <w:rPr>
                <w:sz w:val="16"/>
              </w:rPr>
              <w:t xml:space="preserve">• </w:t>
            </w:r>
            <w:r>
              <w:rPr>
                <w:sz w:val="16"/>
              </w:rPr>
              <w:t>Oddziałowe zespoły wychowawcze.</w:t>
            </w:r>
          </w:p>
          <w:p>
            <w:pPr>
              <w:pStyle w:val="Normal"/>
              <w:spacing w:before="0" w:after="20"/>
              <w:rPr/>
            </w:pPr>
            <w:r>
              <w:rPr>
                <w:sz w:val="16"/>
              </w:rPr>
              <w:t xml:space="preserve">• </w:t>
            </w:r>
            <w:r>
              <w:rPr>
                <w:sz w:val="16"/>
              </w:rPr>
              <w:t>Dyrekcja, pedagog.</w:t>
            </w:r>
          </w:p>
          <w:p>
            <w:pPr>
              <w:pStyle w:val="Normal"/>
              <w:spacing w:before="0" w:after="20"/>
              <w:rPr/>
            </w:pPr>
            <w:r>
              <w:rPr>
                <w:sz w:val="16"/>
              </w:rPr>
              <w:t xml:space="preserve">• </w:t>
            </w:r>
            <w:r>
              <w:rPr>
                <w:sz w:val="16"/>
              </w:rPr>
              <w:t>Pielęgniarki oddziałowe i lekarze.</w:t>
            </w:r>
          </w:p>
        </w:tc>
        <w:tc>
          <w:tcPr>
            <w:tcW w:w="192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Normal"/>
              <w:spacing w:before="0" w:after="20"/>
              <w:rPr/>
            </w:pPr>
            <w:r>
              <w:rPr>
                <w:sz w:val="16"/>
              </w:rPr>
              <w:t xml:space="preserve">• </w:t>
            </w:r>
            <w:r>
              <w:rPr>
                <w:sz w:val="16"/>
              </w:rPr>
              <w:t>Szybkie, autonomiczne rozwiązywanie większości problemów wychowawczych bezpośrednio na oddziale.</w:t>
            </w:r>
          </w:p>
          <w:p>
            <w:pPr>
              <w:pStyle w:val="Normal"/>
              <w:spacing w:before="0" w:after="20"/>
              <w:rPr/>
            </w:pPr>
            <w:r>
              <w:rPr>
                <w:sz w:val="16"/>
              </w:rPr>
              <w:t xml:space="preserve">• </w:t>
            </w:r>
            <w:r>
              <w:rPr>
                <w:sz w:val="16"/>
              </w:rPr>
              <w:t>Lepsza integracja uczniów z doświadczeniem migracyjnym.</w:t>
            </w:r>
          </w:p>
        </w:tc>
      </w:tr>
    </w:tbl>
    <w:p>
      <w:pPr>
        <w:pStyle w:val="Normal"/>
        <w:jc w:val="both"/>
        <w:rPr>
          <w:sz w:val="22"/>
          <w:szCs w:val="22"/>
        </w:rPr>
      </w:pPr>
      <w:r>
        <w:rPr>
          <w:b/>
          <w:sz w:val="22"/>
          <w:szCs w:val="22"/>
        </w:rPr>
        <w:t>Zaproponowane w planie działania nie stanowią katalogu zamkniętego.</w:t>
      </w:r>
      <w:r>
        <w:rPr>
          <w:sz w:val="22"/>
          <w:szCs w:val="22"/>
        </w:rPr>
        <w:t xml:space="preserve"> Realizując założenia Programu Wychowawczo-Profilaktycznego, nauczyciele mogą podejmować również inne działania, dostosowane do bieżących potrzeb uczniów-pacjentów oraz specyfiki poszczególnych oddziałów. Tematyka wynikająca z Programu powinna być uwzględniana w codziennej pracy dydaktycznej i wychowawczej, w szczególności podczas lekcji, zajęć pozalekcyjnych, projektów, warsztatów oraz indywidualnych rozmów z uczniami. </w:t>
      </w:r>
    </w:p>
    <w:p>
      <w:pPr>
        <w:pStyle w:val="Tretekstu"/>
        <w:spacing w:before="0" w:after="0"/>
        <w:jc w:val="both"/>
        <w:rPr/>
      </w:pPr>
      <w:r>
        <w:rPr/>
      </w:r>
    </w:p>
    <w:p>
      <w:pPr>
        <w:pStyle w:val="Tretekstu"/>
        <w:spacing w:before="0" w:after="0"/>
        <w:ind w:firstLine="709"/>
        <w:jc w:val="both"/>
        <w:rPr/>
      </w:pPr>
      <w:r>
        <w:rPr/>
        <w:t xml:space="preserve">Program został opracowany przez powołany przez Dyrektora Zespół ds. Wychowania </w:t>
        <w:br/>
        <w:t xml:space="preserve">i Profilaktyki. Program Wychowawczo-Profilaktyczny Zespołu Szkół nr 33 dla Dzieci i Młodzieży Przewlekle Chorej w Bydgoszczy na rok szkolny 2026/2027 został uchwalony przez Radę Pedagogiczną w dniu 10.09.2026 r. na podstawie art. 84 ust. 4 ustawy z dnia 14 grudnia 2016 r. </w:t>
        <w:br/>
        <w:t>- Prawo oświatowe, z mocą obowiązującą od dnia jego uchwalenia.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Symbol">
    <w:charset w:val="01"/>
    <w:family w:val="roman"/>
    <w:pitch w:val="default"/>
  </w:font>
  <w:font w:name="Calibri">
    <w:charset w:val="01"/>
    <w:family w:val="roman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ind w:left="283" w:hanging="283"/>
      </w:pPr>
      <w:rPr>
        <w:rFonts w:ascii="Symbol" w:hAnsi="Symbol" w:cs="Symbol" w:hint="default"/>
        <w:rFonts w:cs="Symbol"/>
      </w:rPr>
    </w:lvl>
    <w:lvl w:ilvl="1">
      <w:start w:val="1"/>
      <w:numFmt w:val="bullet"/>
      <w:lvlText w:val=""/>
      <w:lvlJc w:val="left"/>
      <w:pPr>
        <w:ind w:left="1414" w:hanging="283"/>
      </w:pPr>
      <w:rPr>
        <w:rFonts w:ascii="Symbol" w:hAnsi="Symbol" w:cs="Symbol" w:hint="default"/>
        <w:rFonts w:cs="Symbol"/>
      </w:rPr>
    </w:lvl>
    <w:lvl w:ilvl="2">
      <w:start w:val="1"/>
      <w:numFmt w:val="bullet"/>
      <w:lvlText w:val=""/>
      <w:lvlJc w:val="left"/>
      <w:pPr>
        <w:ind w:left="2121" w:hanging="283"/>
      </w:pPr>
      <w:rPr>
        <w:rFonts w:ascii="Symbol" w:hAnsi="Symbol" w:cs="Symbol" w:hint="default"/>
        <w:rFonts w:cs="Symbol"/>
      </w:rPr>
    </w:lvl>
    <w:lvl w:ilvl="3">
      <w:start w:val="1"/>
      <w:numFmt w:val="bullet"/>
      <w:lvlText w:val=""/>
      <w:lvlJc w:val="left"/>
      <w:pPr>
        <w:ind w:left="2828" w:hanging="283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"/>
      <w:lvlJc w:val="left"/>
      <w:pPr>
        <w:ind w:left="3535" w:hanging="283"/>
      </w:pPr>
      <w:rPr>
        <w:rFonts w:ascii="Symbol" w:hAnsi="Symbol" w:cs="Symbol" w:hint="default"/>
        <w:rFonts w:cs="Symbol"/>
      </w:rPr>
    </w:lvl>
    <w:lvl w:ilvl="5">
      <w:start w:val="1"/>
      <w:numFmt w:val="bullet"/>
      <w:lvlText w:val=""/>
      <w:lvlJc w:val="left"/>
      <w:pPr>
        <w:ind w:left="4242" w:hanging="283"/>
      </w:pPr>
      <w:rPr>
        <w:rFonts w:ascii="Symbol" w:hAnsi="Symbol" w:cs="Symbol" w:hint="default"/>
        <w:rFonts w:cs="Symbol"/>
      </w:rPr>
    </w:lvl>
    <w:lvl w:ilvl="6">
      <w:start w:val="1"/>
      <w:numFmt w:val="bullet"/>
      <w:lvlText w:val=""/>
      <w:lvlJc w:val="left"/>
      <w:pPr>
        <w:ind w:left="4949" w:hanging="283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"/>
      <w:lvlJc w:val="left"/>
      <w:pPr>
        <w:ind w:left="5656" w:hanging="283"/>
      </w:pPr>
      <w:rPr>
        <w:rFonts w:ascii="Symbol" w:hAnsi="Symbol" w:cs="Symbol" w:hint="default"/>
        <w:rFonts w:cs="Symbol"/>
      </w:rPr>
    </w:lvl>
    <w:lvl w:ilvl="8">
      <w:start w:val="1"/>
      <w:numFmt w:val="bullet"/>
      <w:lvlText w:val=""/>
      <w:lvlJc w:val="left"/>
      <w:pPr>
        <w:ind w:left="6363" w:hanging="283"/>
      </w:pPr>
      <w:rPr>
        <w:rFonts w:ascii="Symbol" w:hAnsi="Symbol" w:cs="Symbol" w:hint="default"/>
        <w:rFonts w:cs="Symbol"/>
      </w:rPr>
    </w:lvl>
  </w:abstractNum>
  <w:abstractNum w:abstractNumId="2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3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4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8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9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10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13"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  <w:rFonts w:cs="Symbol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  <w:rFonts w:cs="Wingdings"/>
      </w:rPr>
    </w:lvl>
  </w:abstractNum>
  <w:abstractNum w:abstractNumId="14"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  <w:rFonts w:cs="Symbol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  <w:rFonts w:cs="Wingdings"/>
      </w:rPr>
    </w:lvl>
  </w:abstractNum>
  <w:abstractNum w:abstractNumId="15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fals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Lucida Sans"/>
        <w:kern w:val="2"/>
        <w:sz w:val="24"/>
        <w:szCs w:val="24"/>
        <w:lang w:val="pl-PL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NSimSun" w:cs="Lucida Sans"/>
      <w:color w:val="auto"/>
      <w:kern w:val="2"/>
      <w:sz w:val="24"/>
      <w:szCs w:val="24"/>
      <w:lang w:val="pl-PL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zeinternetowe" w:customStyle="1">
    <w:name w:val="Łącze internetowe"/>
    <w:rPr>
      <w:color w:val="000080"/>
      <w:u w:val="single"/>
    </w:rPr>
  </w:style>
  <w:style w:type="character" w:styleId="Bullets" w:customStyle="1">
    <w:name w:val="Bullets"/>
    <w:qFormat/>
    <w:rPr>
      <w:rFonts w:ascii="OpenSymbol" w:hAnsi="OpenSymbol" w:eastAsia="OpenSymbol" w:cs="OpenSymbol"/>
    </w:rPr>
  </w:style>
  <w:style w:type="character" w:styleId="Strong">
    <w:name w:val="Strong"/>
    <w:qFormat/>
    <w:rPr>
      <w:b/>
      <w:bCs/>
    </w:rPr>
  </w:style>
  <w:style w:type="character" w:styleId="Wyrnienie" w:customStyle="1">
    <w:name w:val="Wyróżnienie"/>
    <w:qFormat/>
    <w:rPr>
      <w:i/>
      <w:iCs/>
    </w:rPr>
  </w:style>
  <w:style w:type="character" w:styleId="Znakinumeracji" w:customStyle="1">
    <w:name w:val="Znaki numeracji"/>
    <w:qFormat/>
    <w:rPr/>
  </w:style>
  <w:style w:type="character" w:styleId="WW8Num1z0" w:customStyle="1">
    <w:name w:val="WW8Num1z0"/>
    <w:qFormat/>
    <w:rPr>
      <w:rFonts w:ascii="Symbol" w:hAnsi="Symbol" w:eastAsia="Symbol" w:cs="Symbol"/>
    </w:rPr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CharLFO1LVL1" w:customStyle="1">
    <w:name w:val="WW_CharLFO1LVL1"/>
    <w:qFormat/>
    <w:rPr>
      <w:rFonts w:ascii="Symbol" w:hAnsi="Symbol" w:cs="Symbol"/>
    </w:rPr>
  </w:style>
  <w:style w:type="character" w:styleId="WWCharLFO2LVL1" w:customStyle="1">
    <w:name w:val="WW_CharLFO2LVL1"/>
    <w:qFormat/>
    <w:rPr>
      <w:rFonts w:ascii="OpenSymbol" w:hAnsi="OpenSymbol" w:eastAsia="OpenSymbol" w:cs="OpenSymbol"/>
    </w:rPr>
  </w:style>
  <w:style w:type="character" w:styleId="WWCharLFO2LVL2" w:customStyle="1">
    <w:name w:val="WW_CharLFO2LVL2"/>
    <w:qFormat/>
    <w:rPr>
      <w:rFonts w:ascii="OpenSymbol" w:hAnsi="OpenSymbol" w:eastAsia="OpenSymbol" w:cs="OpenSymbol"/>
    </w:rPr>
  </w:style>
  <w:style w:type="character" w:styleId="WWCharLFO2LVL3" w:customStyle="1">
    <w:name w:val="WW_CharLFO2LVL3"/>
    <w:qFormat/>
    <w:rPr>
      <w:rFonts w:ascii="OpenSymbol" w:hAnsi="OpenSymbol" w:eastAsia="OpenSymbol" w:cs="OpenSymbol"/>
    </w:rPr>
  </w:style>
  <w:style w:type="character" w:styleId="WWCharLFO2LVL4" w:customStyle="1">
    <w:name w:val="WW_CharLFO2LVL4"/>
    <w:qFormat/>
    <w:rPr>
      <w:rFonts w:ascii="OpenSymbol" w:hAnsi="OpenSymbol" w:eastAsia="OpenSymbol" w:cs="OpenSymbol"/>
    </w:rPr>
  </w:style>
  <w:style w:type="character" w:styleId="WWCharLFO2LVL5" w:customStyle="1">
    <w:name w:val="WW_CharLFO2LVL5"/>
    <w:qFormat/>
    <w:rPr>
      <w:rFonts w:ascii="OpenSymbol" w:hAnsi="OpenSymbol" w:eastAsia="OpenSymbol" w:cs="OpenSymbol"/>
    </w:rPr>
  </w:style>
  <w:style w:type="character" w:styleId="WWCharLFO2LVL6" w:customStyle="1">
    <w:name w:val="WW_CharLFO2LVL6"/>
    <w:qFormat/>
    <w:rPr>
      <w:rFonts w:ascii="OpenSymbol" w:hAnsi="OpenSymbol" w:eastAsia="OpenSymbol" w:cs="OpenSymbol"/>
    </w:rPr>
  </w:style>
  <w:style w:type="character" w:styleId="WWCharLFO2LVL7" w:customStyle="1">
    <w:name w:val="WW_CharLFO2LVL7"/>
    <w:qFormat/>
    <w:rPr>
      <w:rFonts w:ascii="OpenSymbol" w:hAnsi="OpenSymbol" w:eastAsia="OpenSymbol" w:cs="OpenSymbol"/>
    </w:rPr>
  </w:style>
  <w:style w:type="character" w:styleId="WWCharLFO2LVL8" w:customStyle="1">
    <w:name w:val="WW_CharLFO2LVL8"/>
    <w:qFormat/>
    <w:rPr>
      <w:rFonts w:ascii="OpenSymbol" w:hAnsi="OpenSymbol" w:eastAsia="OpenSymbol" w:cs="OpenSymbol"/>
    </w:rPr>
  </w:style>
  <w:style w:type="character" w:styleId="WWCharLFO2LVL9" w:customStyle="1">
    <w:name w:val="WW_CharLFO2LVL9"/>
    <w:qFormat/>
    <w:rPr>
      <w:rFonts w:ascii="OpenSymbol" w:hAnsi="OpenSymbol" w:eastAsia="OpenSymbol" w:cs="OpenSymbol"/>
    </w:rPr>
  </w:style>
  <w:style w:type="character" w:styleId="WWCharLFO5LVL1" w:customStyle="1">
    <w:name w:val="WW_CharLFO5LVL1"/>
    <w:qFormat/>
    <w:rPr>
      <w:rFonts w:ascii="OpenSymbol" w:hAnsi="OpenSymbol" w:eastAsia="OpenSymbol" w:cs="OpenSymbol"/>
    </w:rPr>
  </w:style>
  <w:style w:type="character" w:styleId="WWCharLFO5LVL2" w:customStyle="1">
    <w:name w:val="WW_CharLFO5LVL2"/>
    <w:qFormat/>
    <w:rPr>
      <w:rFonts w:ascii="OpenSymbol" w:hAnsi="OpenSymbol" w:eastAsia="OpenSymbol" w:cs="OpenSymbol"/>
    </w:rPr>
  </w:style>
  <w:style w:type="character" w:styleId="WWCharLFO5LVL3" w:customStyle="1">
    <w:name w:val="WW_CharLFO5LVL3"/>
    <w:qFormat/>
    <w:rPr>
      <w:rFonts w:ascii="OpenSymbol" w:hAnsi="OpenSymbol" w:eastAsia="OpenSymbol" w:cs="OpenSymbol"/>
    </w:rPr>
  </w:style>
  <w:style w:type="character" w:styleId="WWCharLFO5LVL4" w:customStyle="1">
    <w:name w:val="WW_CharLFO5LVL4"/>
    <w:qFormat/>
    <w:rPr>
      <w:rFonts w:ascii="OpenSymbol" w:hAnsi="OpenSymbol" w:eastAsia="OpenSymbol" w:cs="OpenSymbol"/>
    </w:rPr>
  </w:style>
  <w:style w:type="character" w:styleId="WWCharLFO5LVL5" w:customStyle="1">
    <w:name w:val="WW_CharLFO5LVL5"/>
    <w:qFormat/>
    <w:rPr>
      <w:rFonts w:ascii="OpenSymbol" w:hAnsi="OpenSymbol" w:eastAsia="OpenSymbol" w:cs="OpenSymbol"/>
    </w:rPr>
  </w:style>
  <w:style w:type="character" w:styleId="WWCharLFO5LVL6" w:customStyle="1">
    <w:name w:val="WW_CharLFO5LVL6"/>
    <w:qFormat/>
    <w:rPr>
      <w:rFonts w:ascii="OpenSymbol" w:hAnsi="OpenSymbol" w:eastAsia="OpenSymbol" w:cs="OpenSymbol"/>
    </w:rPr>
  </w:style>
  <w:style w:type="character" w:styleId="WWCharLFO5LVL7" w:customStyle="1">
    <w:name w:val="WW_CharLFO5LVL7"/>
    <w:qFormat/>
    <w:rPr>
      <w:rFonts w:ascii="OpenSymbol" w:hAnsi="OpenSymbol" w:eastAsia="OpenSymbol" w:cs="OpenSymbol"/>
    </w:rPr>
  </w:style>
  <w:style w:type="character" w:styleId="WWCharLFO5LVL8" w:customStyle="1">
    <w:name w:val="WW_CharLFO5LVL8"/>
    <w:qFormat/>
    <w:rPr>
      <w:rFonts w:ascii="OpenSymbol" w:hAnsi="OpenSymbol" w:eastAsia="OpenSymbol" w:cs="OpenSymbol"/>
    </w:rPr>
  </w:style>
  <w:style w:type="character" w:styleId="WWCharLFO5LVL9" w:customStyle="1">
    <w:name w:val="WW_CharLFO5LVL9"/>
    <w:qFormat/>
    <w:rPr>
      <w:rFonts w:ascii="OpenSymbol" w:hAnsi="OpenSymbol" w:eastAsia="OpenSymbol" w:cs="OpenSymbol"/>
    </w:rPr>
  </w:style>
  <w:style w:type="character" w:styleId="WWCharLFO6LVL1" w:customStyle="1">
    <w:name w:val="WW_CharLFO6LVL1"/>
    <w:qFormat/>
    <w:rPr>
      <w:rFonts w:ascii="OpenSymbol" w:hAnsi="OpenSymbol" w:eastAsia="OpenSymbol" w:cs="OpenSymbol"/>
    </w:rPr>
  </w:style>
  <w:style w:type="character" w:styleId="WWCharLFO6LVL2" w:customStyle="1">
    <w:name w:val="WW_CharLFO6LVL2"/>
    <w:qFormat/>
    <w:rPr>
      <w:rFonts w:ascii="OpenSymbol" w:hAnsi="OpenSymbol" w:eastAsia="OpenSymbol" w:cs="OpenSymbol"/>
    </w:rPr>
  </w:style>
  <w:style w:type="character" w:styleId="WWCharLFO6LVL3" w:customStyle="1">
    <w:name w:val="WW_CharLFO6LVL3"/>
    <w:qFormat/>
    <w:rPr>
      <w:rFonts w:ascii="OpenSymbol" w:hAnsi="OpenSymbol" w:eastAsia="OpenSymbol" w:cs="OpenSymbol"/>
    </w:rPr>
  </w:style>
  <w:style w:type="character" w:styleId="WWCharLFO6LVL4" w:customStyle="1">
    <w:name w:val="WW_CharLFO6LVL4"/>
    <w:qFormat/>
    <w:rPr>
      <w:rFonts w:ascii="OpenSymbol" w:hAnsi="OpenSymbol" w:eastAsia="OpenSymbol" w:cs="OpenSymbol"/>
    </w:rPr>
  </w:style>
  <w:style w:type="character" w:styleId="WWCharLFO6LVL5" w:customStyle="1">
    <w:name w:val="WW_CharLFO6LVL5"/>
    <w:qFormat/>
    <w:rPr>
      <w:rFonts w:ascii="OpenSymbol" w:hAnsi="OpenSymbol" w:eastAsia="OpenSymbol" w:cs="OpenSymbol"/>
    </w:rPr>
  </w:style>
  <w:style w:type="character" w:styleId="WWCharLFO6LVL6" w:customStyle="1">
    <w:name w:val="WW_CharLFO6LVL6"/>
    <w:qFormat/>
    <w:rPr>
      <w:rFonts w:ascii="OpenSymbol" w:hAnsi="OpenSymbol" w:eastAsia="OpenSymbol" w:cs="OpenSymbol"/>
    </w:rPr>
  </w:style>
  <w:style w:type="character" w:styleId="WWCharLFO6LVL7" w:customStyle="1">
    <w:name w:val="WW_CharLFO6LVL7"/>
    <w:qFormat/>
    <w:rPr>
      <w:rFonts w:ascii="OpenSymbol" w:hAnsi="OpenSymbol" w:eastAsia="OpenSymbol" w:cs="OpenSymbol"/>
    </w:rPr>
  </w:style>
  <w:style w:type="character" w:styleId="WWCharLFO6LVL8" w:customStyle="1">
    <w:name w:val="WW_CharLFO6LVL8"/>
    <w:qFormat/>
    <w:rPr>
      <w:rFonts w:ascii="OpenSymbol" w:hAnsi="OpenSymbol" w:eastAsia="OpenSymbol" w:cs="OpenSymbol"/>
    </w:rPr>
  </w:style>
  <w:style w:type="character" w:styleId="WWCharLFO6LVL9" w:customStyle="1">
    <w:name w:val="WW_CharLFO6LVL9"/>
    <w:qFormat/>
    <w:rPr>
      <w:rFonts w:ascii="OpenSymbol" w:hAnsi="OpenSymbol" w:eastAsia="OpenSymbol" w:cs="OpenSymbol"/>
    </w:rPr>
  </w:style>
  <w:style w:type="character" w:styleId="WWCharLFO7LVL1" w:customStyle="1">
    <w:name w:val="WW_CharLFO7LVL1"/>
    <w:qFormat/>
    <w:rPr>
      <w:rFonts w:ascii="OpenSymbol" w:hAnsi="OpenSymbol" w:eastAsia="OpenSymbol" w:cs="OpenSymbol"/>
    </w:rPr>
  </w:style>
  <w:style w:type="character" w:styleId="WWCharLFO7LVL2" w:customStyle="1">
    <w:name w:val="WW_CharLFO7LVL2"/>
    <w:qFormat/>
    <w:rPr>
      <w:rFonts w:ascii="OpenSymbol" w:hAnsi="OpenSymbol" w:eastAsia="OpenSymbol" w:cs="OpenSymbol"/>
    </w:rPr>
  </w:style>
  <w:style w:type="character" w:styleId="WWCharLFO7LVL3" w:customStyle="1">
    <w:name w:val="WW_CharLFO7LVL3"/>
    <w:qFormat/>
    <w:rPr>
      <w:rFonts w:ascii="OpenSymbol" w:hAnsi="OpenSymbol" w:eastAsia="OpenSymbol" w:cs="OpenSymbol"/>
    </w:rPr>
  </w:style>
  <w:style w:type="character" w:styleId="WWCharLFO7LVL4" w:customStyle="1">
    <w:name w:val="WW_CharLFO7LVL4"/>
    <w:qFormat/>
    <w:rPr>
      <w:rFonts w:ascii="OpenSymbol" w:hAnsi="OpenSymbol" w:eastAsia="OpenSymbol" w:cs="OpenSymbol"/>
    </w:rPr>
  </w:style>
  <w:style w:type="character" w:styleId="WWCharLFO7LVL5" w:customStyle="1">
    <w:name w:val="WW_CharLFO7LVL5"/>
    <w:qFormat/>
    <w:rPr>
      <w:rFonts w:ascii="OpenSymbol" w:hAnsi="OpenSymbol" w:eastAsia="OpenSymbol" w:cs="OpenSymbol"/>
    </w:rPr>
  </w:style>
  <w:style w:type="character" w:styleId="WWCharLFO7LVL6" w:customStyle="1">
    <w:name w:val="WW_CharLFO7LVL6"/>
    <w:qFormat/>
    <w:rPr>
      <w:rFonts w:ascii="OpenSymbol" w:hAnsi="OpenSymbol" w:eastAsia="OpenSymbol" w:cs="OpenSymbol"/>
    </w:rPr>
  </w:style>
  <w:style w:type="character" w:styleId="WWCharLFO7LVL7" w:customStyle="1">
    <w:name w:val="WW_CharLFO7LVL7"/>
    <w:qFormat/>
    <w:rPr>
      <w:rFonts w:ascii="OpenSymbol" w:hAnsi="OpenSymbol" w:eastAsia="OpenSymbol" w:cs="OpenSymbol"/>
    </w:rPr>
  </w:style>
  <w:style w:type="character" w:styleId="WWCharLFO7LVL8" w:customStyle="1">
    <w:name w:val="WW_CharLFO7LVL8"/>
    <w:qFormat/>
    <w:rPr>
      <w:rFonts w:ascii="OpenSymbol" w:hAnsi="OpenSymbol" w:eastAsia="OpenSymbol" w:cs="OpenSymbol"/>
    </w:rPr>
  </w:style>
  <w:style w:type="character" w:styleId="WWCharLFO7LVL9" w:customStyle="1">
    <w:name w:val="WW_CharLFO7LVL9"/>
    <w:qFormat/>
    <w:rPr>
      <w:rFonts w:ascii="OpenSymbol" w:hAnsi="OpenSymbol" w:eastAsia="OpenSymbol" w:cs="OpenSymbol"/>
    </w:rPr>
  </w:style>
  <w:style w:type="character" w:styleId="WWCharLFO8LVL1" w:customStyle="1">
    <w:name w:val="WW_CharLFO8LVL1"/>
    <w:qFormat/>
    <w:rPr>
      <w:rFonts w:ascii="OpenSymbol" w:hAnsi="OpenSymbol" w:eastAsia="OpenSymbol" w:cs="OpenSymbol"/>
    </w:rPr>
  </w:style>
  <w:style w:type="character" w:styleId="WWCharLFO8LVL2" w:customStyle="1">
    <w:name w:val="WW_CharLFO8LVL2"/>
    <w:qFormat/>
    <w:rPr>
      <w:rFonts w:ascii="OpenSymbol" w:hAnsi="OpenSymbol" w:eastAsia="OpenSymbol" w:cs="OpenSymbol"/>
    </w:rPr>
  </w:style>
  <w:style w:type="character" w:styleId="WWCharLFO8LVL3" w:customStyle="1">
    <w:name w:val="WW_CharLFO8LVL3"/>
    <w:qFormat/>
    <w:rPr>
      <w:rFonts w:ascii="OpenSymbol" w:hAnsi="OpenSymbol" w:eastAsia="OpenSymbol" w:cs="OpenSymbol"/>
    </w:rPr>
  </w:style>
  <w:style w:type="character" w:styleId="WWCharLFO8LVL4" w:customStyle="1">
    <w:name w:val="WW_CharLFO8LVL4"/>
    <w:qFormat/>
    <w:rPr>
      <w:rFonts w:ascii="OpenSymbol" w:hAnsi="OpenSymbol" w:eastAsia="OpenSymbol" w:cs="OpenSymbol"/>
    </w:rPr>
  </w:style>
  <w:style w:type="character" w:styleId="WWCharLFO8LVL5" w:customStyle="1">
    <w:name w:val="WW_CharLFO8LVL5"/>
    <w:qFormat/>
    <w:rPr>
      <w:rFonts w:ascii="OpenSymbol" w:hAnsi="OpenSymbol" w:eastAsia="OpenSymbol" w:cs="OpenSymbol"/>
    </w:rPr>
  </w:style>
  <w:style w:type="character" w:styleId="WWCharLFO8LVL6" w:customStyle="1">
    <w:name w:val="WW_CharLFO8LVL6"/>
    <w:qFormat/>
    <w:rPr>
      <w:rFonts w:ascii="OpenSymbol" w:hAnsi="OpenSymbol" w:eastAsia="OpenSymbol" w:cs="OpenSymbol"/>
    </w:rPr>
  </w:style>
  <w:style w:type="character" w:styleId="WWCharLFO8LVL7" w:customStyle="1">
    <w:name w:val="WW_CharLFO8LVL7"/>
    <w:qFormat/>
    <w:rPr>
      <w:rFonts w:ascii="OpenSymbol" w:hAnsi="OpenSymbol" w:eastAsia="OpenSymbol" w:cs="OpenSymbol"/>
    </w:rPr>
  </w:style>
  <w:style w:type="character" w:styleId="WWCharLFO8LVL8" w:customStyle="1">
    <w:name w:val="WW_CharLFO8LVL8"/>
    <w:qFormat/>
    <w:rPr>
      <w:rFonts w:ascii="OpenSymbol" w:hAnsi="OpenSymbol" w:eastAsia="OpenSymbol" w:cs="OpenSymbol"/>
    </w:rPr>
  </w:style>
  <w:style w:type="character" w:styleId="WWCharLFO8LVL9" w:customStyle="1">
    <w:name w:val="WW_CharLFO8LVL9"/>
    <w:qFormat/>
    <w:rPr>
      <w:rFonts w:ascii="OpenSymbol" w:hAnsi="OpenSymbol" w:eastAsia="OpenSymbol" w:cs="OpenSymbol"/>
    </w:rPr>
  </w:style>
  <w:style w:type="character" w:styleId="WWCharLFO10LVL1" w:customStyle="1">
    <w:name w:val="WW_CharLFO10LVL1"/>
    <w:qFormat/>
    <w:rPr>
      <w:rFonts w:ascii="OpenSymbol" w:hAnsi="OpenSymbol" w:eastAsia="OpenSymbol" w:cs="OpenSymbol"/>
    </w:rPr>
  </w:style>
  <w:style w:type="character" w:styleId="WWCharLFO10LVL2" w:customStyle="1">
    <w:name w:val="WW_CharLFO10LVL2"/>
    <w:qFormat/>
    <w:rPr>
      <w:rFonts w:ascii="OpenSymbol" w:hAnsi="OpenSymbol" w:eastAsia="OpenSymbol" w:cs="OpenSymbol"/>
    </w:rPr>
  </w:style>
  <w:style w:type="character" w:styleId="WWCharLFO10LVL3" w:customStyle="1">
    <w:name w:val="WW_CharLFO10LVL3"/>
    <w:qFormat/>
    <w:rPr>
      <w:rFonts w:ascii="OpenSymbol" w:hAnsi="OpenSymbol" w:eastAsia="OpenSymbol" w:cs="OpenSymbol"/>
    </w:rPr>
  </w:style>
  <w:style w:type="character" w:styleId="WWCharLFO10LVL4" w:customStyle="1">
    <w:name w:val="WW_CharLFO10LVL4"/>
    <w:qFormat/>
    <w:rPr>
      <w:rFonts w:ascii="OpenSymbol" w:hAnsi="OpenSymbol" w:eastAsia="OpenSymbol" w:cs="OpenSymbol"/>
    </w:rPr>
  </w:style>
  <w:style w:type="character" w:styleId="WWCharLFO10LVL5" w:customStyle="1">
    <w:name w:val="WW_CharLFO10LVL5"/>
    <w:qFormat/>
    <w:rPr>
      <w:rFonts w:ascii="OpenSymbol" w:hAnsi="OpenSymbol" w:eastAsia="OpenSymbol" w:cs="OpenSymbol"/>
    </w:rPr>
  </w:style>
  <w:style w:type="character" w:styleId="WWCharLFO10LVL6" w:customStyle="1">
    <w:name w:val="WW_CharLFO10LVL6"/>
    <w:qFormat/>
    <w:rPr>
      <w:rFonts w:ascii="OpenSymbol" w:hAnsi="OpenSymbol" w:eastAsia="OpenSymbol" w:cs="OpenSymbol"/>
    </w:rPr>
  </w:style>
  <w:style w:type="character" w:styleId="WWCharLFO10LVL7" w:customStyle="1">
    <w:name w:val="WW_CharLFO10LVL7"/>
    <w:qFormat/>
    <w:rPr>
      <w:rFonts w:ascii="OpenSymbol" w:hAnsi="OpenSymbol" w:eastAsia="OpenSymbol" w:cs="OpenSymbol"/>
    </w:rPr>
  </w:style>
  <w:style w:type="character" w:styleId="WWCharLFO10LVL8" w:customStyle="1">
    <w:name w:val="WW_CharLFO10LVL8"/>
    <w:qFormat/>
    <w:rPr>
      <w:rFonts w:ascii="OpenSymbol" w:hAnsi="OpenSymbol" w:eastAsia="OpenSymbol" w:cs="OpenSymbol"/>
    </w:rPr>
  </w:style>
  <w:style w:type="character" w:styleId="WWCharLFO10LVL9" w:customStyle="1">
    <w:name w:val="WW_CharLFO10LVL9"/>
    <w:qFormat/>
    <w:rPr>
      <w:rFonts w:ascii="OpenSymbol" w:hAnsi="OpenSymbol" w:eastAsia="OpenSymbol" w:cs="OpenSymbol"/>
    </w:rPr>
  </w:style>
  <w:style w:type="character" w:styleId="WWCharLFO12LVL1" w:customStyle="1">
    <w:name w:val="WW_CharLFO12LVL1"/>
    <w:qFormat/>
    <w:rPr>
      <w:rFonts w:ascii="OpenSymbol" w:hAnsi="OpenSymbol" w:eastAsia="OpenSymbol" w:cs="OpenSymbol"/>
    </w:rPr>
  </w:style>
  <w:style w:type="character" w:styleId="WWCharLFO12LVL2" w:customStyle="1">
    <w:name w:val="WW_CharLFO12LVL2"/>
    <w:qFormat/>
    <w:rPr>
      <w:rFonts w:ascii="OpenSymbol" w:hAnsi="OpenSymbol" w:eastAsia="OpenSymbol" w:cs="OpenSymbol"/>
    </w:rPr>
  </w:style>
  <w:style w:type="character" w:styleId="WWCharLFO12LVL3" w:customStyle="1">
    <w:name w:val="WW_CharLFO12LVL3"/>
    <w:qFormat/>
    <w:rPr>
      <w:rFonts w:ascii="OpenSymbol" w:hAnsi="OpenSymbol" w:eastAsia="OpenSymbol" w:cs="OpenSymbol"/>
    </w:rPr>
  </w:style>
  <w:style w:type="character" w:styleId="WWCharLFO12LVL4" w:customStyle="1">
    <w:name w:val="WW_CharLFO12LVL4"/>
    <w:qFormat/>
    <w:rPr>
      <w:rFonts w:ascii="OpenSymbol" w:hAnsi="OpenSymbol" w:eastAsia="OpenSymbol" w:cs="OpenSymbol"/>
    </w:rPr>
  </w:style>
  <w:style w:type="character" w:styleId="WWCharLFO12LVL5" w:customStyle="1">
    <w:name w:val="WW_CharLFO12LVL5"/>
    <w:qFormat/>
    <w:rPr>
      <w:rFonts w:ascii="OpenSymbol" w:hAnsi="OpenSymbol" w:eastAsia="OpenSymbol" w:cs="OpenSymbol"/>
    </w:rPr>
  </w:style>
  <w:style w:type="character" w:styleId="WWCharLFO12LVL6" w:customStyle="1">
    <w:name w:val="WW_CharLFO12LVL6"/>
    <w:qFormat/>
    <w:rPr>
      <w:rFonts w:ascii="OpenSymbol" w:hAnsi="OpenSymbol" w:eastAsia="OpenSymbol" w:cs="OpenSymbol"/>
    </w:rPr>
  </w:style>
  <w:style w:type="character" w:styleId="WWCharLFO12LVL7" w:customStyle="1">
    <w:name w:val="WW_CharLFO12LVL7"/>
    <w:qFormat/>
    <w:rPr>
      <w:rFonts w:ascii="OpenSymbol" w:hAnsi="OpenSymbol" w:eastAsia="OpenSymbol" w:cs="OpenSymbol"/>
    </w:rPr>
  </w:style>
  <w:style w:type="character" w:styleId="WWCharLFO12LVL8" w:customStyle="1">
    <w:name w:val="WW_CharLFO12LVL8"/>
    <w:qFormat/>
    <w:rPr>
      <w:rFonts w:ascii="OpenSymbol" w:hAnsi="OpenSymbol" w:eastAsia="OpenSymbol" w:cs="OpenSymbol"/>
    </w:rPr>
  </w:style>
  <w:style w:type="character" w:styleId="WWCharLFO12LVL9" w:customStyle="1">
    <w:name w:val="WW_CharLFO12LVL9"/>
    <w:qFormat/>
    <w:rPr>
      <w:rFonts w:ascii="OpenSymbol" w:hAnsi="OpenSymbol" w:eastAsia="OpenSymbol" w:cs="OpenSymbol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Times New Roman" w:hAnsi="Times New Roman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qFormat/>
    <w:pPr/>
    <w:rPr>
      <w:rFonts w:eastAsia="Times New Roman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ascii="Times New Roman" w:hAnsi="Times New Roman" w:cs="Lucida Sans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eastAsia="Times New Roman"/>
    </w:rPr>
  </w:style>
  <w:style w:type="paragraph" w:styleId="Nagwek1" w:customStyle="1">
    <w:name w:val="Nagłówek1"/>
    <w:basedOn w:val="Normal"/>
    <w:next w:val="Tretekstu"/>
    <w:qFormat/>
    <w:pPr>
      <w:keepNext w:val="true"/>
      <w:spacing w:before="240" w:after="120"/>
    </w:pPr>
    <w:rPr>
      <w:rFonts w:eastAsia="Microsoft YaHei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eastAsia="Times New Roman"/>
      <w:i/>
      <w:iCs/>
    </w:rPr>
  </w:style>
  <w:style w:type="paragraph" w:styleId="Liniapozioma" w:customStyle="1">
    <w:name w:val="Linia pozioma"/>
    <w:basedOn w:val="Normal"/>
    <w:next w:val="Tretekstu"/>
    <w:qFormat/>
    <w:pPr>
      <w:suppressLineNumbers/>
      <w:spacing w:before="0" w:after="283"/>
    </w:pPr>
    <w:rPr>
      <w:sz w:val="12"/>
      <w:szCs w:val="12"/>
    </w:rPr>
  </w:style>
  <w:style w:type="paragraph" w:styleId="Zawartotabeli" w:customStyle="1">
    <w:name w:val="Zawartość tabeli"/>
    <w:basedOn w:val="Normal"/>
    <w:qFormat/>
    <w:pPr>
      <w:suppressLineNumbers/>
    </w:pPr>
    <w:rPr/>
  </w:style>
  <w:style w:type="paragraph" w:styleId="Nagwektabeli" w:customStyle="1">
    <w:name w:val="Nagłówek tabeli"/>
    <w:basedOn w:val="Zawartotabeli"/>
    <w:qFormat/>
    <w:pPr>
      <w:jc w:val="center"/>
    </w:pPr>
    <w:rPr>
      <w:b/>
      <w:bCs/>
    </w:rPr>
  </w:style>
  <w:style w:type="paragraph" w:styleId="ListParagraph">
    <w:name w:val="List Paragraph"/>
    <w:basedOn w:val="Normal"/>
    <w:qFormat/>
    <w:pPr>
      <w:suppressAutoHyphens w:val="false"/>
      <w:spacing w:lineRule="auto" w:line="276" w:before="0" w:after="200"/>
      <w:ind w:left="720" w:hanging="0"/>
      <w:textAlignment w:val="auto"/>
    </w:pPr>
    <w:rPr>
      <w:rFonts w:ascii="Calibri" w:hAnsi="Calibri" w:eastAsia="Times New Roman" w:cs="Times New Roman"/>
      <w:sz w:val="22"/>
      <w:szCs w:val="22"/>
      <w:lang w:bidi="ar-SA"/>
    </w:rPr>
  </w:style>
  <w:style w:type="paragraph" w:styleId="ListBullet">
    <w:name w:val="List Bullet"/>
    <w:basedOn w:val="Normal"/>
    <w:qFormat/>
    <w:pPr>
      <w:spacing w:before="0" w:after="100"/>
    </w:pPr>
    <w:rPr/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LibreOffice/6.4.1.2$Windows_X86_64 LibreOffice_project/4d224e95b98b138af42a64d84056446d09082932</Application>
  <Pages>9</Pages>
  <Words>3672</Words>
  <Characters>22032</Characters>
  <CharactersWithSpaces>25653</CharactersWithSpaces>
  <Paragraphs>51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2026-09-06T08:34:00Z</dcterms:created>
  <dc:creator>Daria Karwowska</dc:creator>
  <dc:description/>
  <dc:language>en-US</dc:language>
  <cp:lastModifiedBy>Iza</cp:lastModifiedBy>
  <dcterms:modified xsi:type="dcterms:W3CDTF">2026-09-06T08:39:00Z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